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both"/>
        <w:rPr>
          <w:rFonts w:ascii="Times New Roman" w:hAnsi="Times New Roman" w:eastAsia="DFKai-SB"/>
          <w:i/>
          <w:szCs w:val="24"/>
        </w:rPr>
      </w:pPr>
      <w:r>
        <w:rPr>
          <w:rFonts w:ascii="Times New Roman" w:hAnsi="Times New Roman" w:eastAsia="DFKai-SB"/>
          <w:i/>
          <w:szCs w:val="24"/>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5"/>
        <w:snapToGrid w:val="0"/>
        <w:jc w:val="both"/>
        <w:rPr>
          <w:rFonts w:ascii="Times New Roman" w:hAnsi="Times New Roman" w:eastAsia="DFKai-SB"/>
          <w:i/>
          <w:szCs w:val="24"/>
        </w:rPr>
      </w:pP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ascii="Times New Roman" w:hAnsi="Times New Roman" w:eastAsia="DFKai-SB"/>
          <w:i/>
          <w:iCs/>
          <w:szCs w:val="24"/>
          <w:lang w:eastAsia="zh-CN"/>
        </w:rPr>
        <w:drawing>
          <wp:anchor distT="0" distB="0" distL="114300" distR="114300" simplePos="0" relativeHeight="251658240" behindDoc="0" locked="0" layoutInCell="1" allowOverlap="1">
            <wp:simplePos x="0" y="0"/>
            <wp:positionH relativeFrom="column">
              <wp:posOffset>2583815</wp:posOffset>
            </wp:positionH>
            <wp:positionV relativeFrom="paragraph">
              <wp:posOffset>32385</wp:posOffset>
            </wp:positionV>
            <wp:extent cx="533400" cy="5772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a:ln>
                      <a:noFill/>
                    </a:ln>
                  </pic:spPr>
                </pic:pic>
              </a:graphicData>
            </a:graphic>
          </wp:anchor>
        </w:drawing>
      </w:r>
    </w:p>
    <w:p>
      <w:pPr>
        <w:pStyle w:val="5"/>
        <w:snapToGrid w:val="0"/>
        <w:spacing w:line="240" w:lineRule="atLeast"/>
        <w:jc w:val="center"/>
        <w:rPr>
          <w:rFonts w:ascii="Times New Roman" w:hAnsi="Times New Roman" w:eastAsia="DFKai-SB"/>
          <w:szCs w:val="24"/>
        </w:rPr>
      </w:pPr>
      <w:r>
        <w:rPr>
          <w:rFonts w:ascii="Times New Roman" w:hAnsi="Times New Roman" w:eastAsia="DFKai-SB"/>
          <w:szCs w:val="24"/>
        </w:rPr>
        <w:tab/>
      </w:r>
    </w:p>
    <w:p>
      <w:pPr>
        <w:pStyle w:val="5"/>
        <w:snapToGrid w:val="0"/>
        <w:spacing w:line="240" w:lineRule="atLeast"/>
        <w:jc w:val="center"/>
        <w:rPr>
          <w:rFonts w:ascii="Times New Roman" w:hAnsi="Times New Roman" w:eastAsia="DFKai-SB"/>
          <w:szCs w:val="24"/>
        </w:rPr>
      </w:pPr>
    </w:p>
    <w:p>
      <w:pPr>
        <w:pStyle w:val="5"/>
        <w:snapToGrid w:val="0"/>
        <w:spacing w:line="240" w:lineRule="atLeast"/>
        <w:jc w:val="center"/>
        <w:rPr>
          <w:rFonts w:ascii="Times New Roman" w:hAnsi="Times New Roman" w:eastAsia="DFKai-SB"/>
          <w:i/>
          <w:iCs/>
          <w:szCs w:val="24"/>
        </w:rPr>
      </w:pPr>
    </w:p>
    <w:p>
      <w:pPr>
        <w:pStyle w:val="5"/>
        <w:snapToGrid w:val="0"/>
        <w:spacing w:line="240" w:lineRule="atLeast"/>
        <w:jc w:val="center"/>
        <w:rPr>
          <w:rFonts w:ascii="Times New Roman" w:hAnsi="Times New Roman" w:eastAsia="DFKai-SB"/>
          <w:b/>
          <w:bCs/>
          <w:szCs w:val="24"/>
        </w:rPr>
      </w:pPr>
    </w:p>
    <w:p>
      <w:pPr>
        <w:pStyle w:val="5"/>
        <w:snapToGrid w:val="0"/>
        <w:spacing w:line="240" w:lineRule="atLeast"/>
        <w:jc w:val="center"/>
        <w:rPr>
          <w:rFonts w:ascii="Times New Roman" w:hAnsi="Times New Roman" w:eastAsia="DFKai-SB"/>
          <w:b/>
          <w:szCs w:val="24"/>
        </w:rPr>
      </w:pPr>
      <w:r>
        <w:rPr>
          <w:rFonts w:ascii="Times New Roman" w:hAnsi="Times New Roman" w:eastAsia="DFKai-SB"/>
          <w:b/>
          <w:bCs/>
          <w:szCs w:val="24"/>
        </w:rPr>
        <w:t>山東新華製藥股份有限公司</w:t>
      </w:r>
    </w:p>
    <w:p>
      <w:pPr>
        <w:pStyle w:val="28"/>
        <w:widowControl w:val="0"/>
        <w:tabs>
          <w:tab w:val="left" w:pos="709"/>
          <w:tab w:val="left" w:pos="1418"/>
          <w:tab w:val="left" w:pos="2126"/>
          <w:tab w:val="left" w:pos="2835"/>
          <w:tab w:val="left" w:pos="3544"/>
          <w:tab w:val="left" w:pos="4253"/>
        </w:tabs>
        <w:kinsoku w:val="0"/>
        <w:adjustRightInd w:val="0"/>
        <w:snapToGrid w:val="0"/>
        <w:spacing w:line="240" w:lineRule="atLeast"/>
        <w:rPr>
          <w:rFonts w:eastAsia="DFKai-SB"/>
          <w:kern w:val="2"/>
          <w:sz w:val="24"/>
          <w:szCs w:val="24"/>
        </w:rPr>
      </w:pPr>
      <w:r>
        <w:rPr>
          <w:rFonts w:eastAsia="DFKai-SB"/>
          <w:kern w:val="2"/>
          <w:sz w:val="24"/>
          <w:szCs w:val="24"/>
        </w:rPr>
        <w:t>Shandong Xinhua Pharmaceutical Company Limited</w:t>
      </w:r>
    </w:p>
    <w:p>
      <w:pPr>
        <w:pStyle w:val="5"/>
        <w:snapToGrid w:val="0"/>
        <w:spacing w:before="80"/>
        <w:jc w:val="center"/>
        <w:rPr>
          <w:rFonts w:ascii="Times New Roman" w:hAnsi="Times New Roman" w:eastAsia="DFKai-SB"/>
          <w:i/>
          <w:szCs w:val="24"/>
        </w:rPr>
      </w:pPr>
      <w:r>
        <w:rPr>
          <w:rFonts w:ascii="Times New Roman" w:hAnsi="Times New Roman" w:eastAsia="DFKai-SB"/>
          <w:b/>
          <w:bCs/>
          <w:szCs w:val="24"/>
        </w:rPr>
        <w:t xml:space="preserve"> </w:t>
      </w:r>
      <w:r>
        <w:rPr>
          <w:rFonts w:ascii="Times New Roman" w:hAnsi="Times New Roman" w:eastAsia="DFKai-SB"/>
          <w:i/>
          <w:szCs w:val="24"/>
        </w:rPr>
        <w:t>（於中華人民共和國註冊成立之股份有限公司）</w:t>
      </w:r>
    </w:p>
    <w:p>
      <w:pPr>
        <w:jc w:val="center"/>
        <w:rPr>
          <w:rFonts w:eastAsia="DFKai-SB"/>
          <w:b/>
          <w:bCs/>
        </w:rPr>
      </w:pPr>
      <w:r>
        <w:rPr>
          <w:rFonts w:eastAsia="DFKai-SB"/>
          <w:b/>
          <w:bCs/>
        </w:rPr>
        <w:t>（股份代號：0719）</w:t>
      </w:r>
    </w:p>
    <w:p>
      <w:pPr>
        <w:rPr>
          <w:rFonts w:eastAsia="DFKai-SB"/>
        </w:rPr>
      </w:pPr>
      <w:r>
        <w:rPr>
          <w:rFonts w:eastAsia="DFKai-SB"/>
        </w:rPr>
        <w:t xml:space="preserve"> </w:t>
      </w:r>
    </w:p>
    <w:p>
      <w:pPr>
        <w:autoSpaceDE w:val="0"/>
        <w:autoSpaceDN w:val="0"/>
        <w:adjustRightInd w:val="0"/>
        <w:ind w:left="110" w:right="49"/>
        <w:jc w:val="center"/>
        <w:rPr>
          <w:rFonts w:eastAsia="DFKai-SB"/>
          <w:b/>
          <w:bCs/>
          <w:color w:val="231F20"/>
          <w:spacing w:val="4"/>
        </w:rPr>
      </w:pPr>
      <w:r>
        <w:rPr>
          <w:rFonts w:eastAsia="DFKai-SB"/>
          <w:b/>
          <w:bCs/>
          <w:color w:val="231F20"/>
          <w:spacing w:val="4"/>
        </w:rPr>
        <w:t>關連交易:</w:t>
      </w:r>
    </w:p>
    <w:p>
      <w:pPr>
        <w:autoSpaceDE w:val="0"/>
        <w:autoSpaceDN w:val="0"/>
        <w:adjustRightInd w:val="0"/>
        <w:ind w:left="110" w:right="49"/>
        <w:jc w:val="center"/>
        <w:rPr>
          <w:rFonts w:eastAsia="DFKai-SB"/>
          <w:b/>
          <w:bCs/>
          <w:color w:val="231F20"/>
          <w:spacing w:val="4"/>
        </w:rPr>
      </w:pPr>
      <w:r>
        <w:rPr>
          <w:rFonts w:eastAsia="DFKai-SB"/>
          <w:b/>
          <w:bCs/>
          <w:color w:val="231F20"/>
          <w:spacing w:val="4"/>
          <w:lang w:eastAsia="zh-HK"/>
        </w:rPr>
        <w:t>收</w:t>
      </w:r>
      <w:r>
        <w:rPr>
          <w:rFonts w:eastAsia="DFKai-SB"/>
          <w:b/>
          <w:bCs/>
          <w:color w:val="231F20"/>
          <w:spacing w:val="4"/>
        </w:rPr>
        <w:t>購山東新華萬博化工有限公司27%股權</w:t>
      </w:r>
    </w:p>
    <w:p>
      <w:pPr>
        <w:autoSpaceDE w:val="0"/>
        <w:autoSpaceDN w:val="0"/>
        <w:adjustRightInd w:val="0"/>
        <w:ind w:left="110" w:right="49"/>
        <w:jc w:val="center"/>
        <w:rPr>
          <w:rFonts w:eastAsia="DFKai-SB"/>
          <w:b/>
          <w:bCs/>
          <w:color w:val="231F20"/>
          <w:spacing w:val="4"/>
        </w:rPr>
      </w:pPr>
    </w:p>
    <w:p>
      <w:pPr>
        <w:autoSpaceDE w:val="0"/>
        <w:autoSpaceDN w:val="0"/>
        <w:adjustRightInd w:val="0"/>
        <w:ind w:left="110" w:right="49"/>
        <w:jc w:val="center"/>
        <w:rPr>
          <w:rFonts w:eastAsia="DFKai-SB"/>
          <w:color w:val="000000"/>
        </w:rPr>
      </w:pPr>
    </w:p>
    <w:p>
      <w:pPr>
        <w:pStyle w:val="5"/>
        <w:snapToGrid w:val="0"/>
        <w:jc w:val="both"/>
        <w:rPr>
          <w:rFonts w:ascii="Times New Roman" w:hAnsi="Times New Roman" w:eastAsia="DFKai-SB"/>
          <w:szCs w:val="24"/>
        </w:rPr>
      </w:pPr>
      <w:r>
        <w:rPr>
          <w:rFonts w:ascii="Times New Roman" w:hAnsi="Times New Roman" w:eastAsia="DFKai-SB"/>
          <w:szCs w:val="24"/>
        </w:rPr>
        <w:t>茲提述本公司日期為 2018年10 月 22 日</w:t>
      </w:r>
      <w:r>
        <w:rPr>
          <w:rFonts w:hint="eastAsia" w:ascii="Times New Roman" w:hAnsi="Times New Roman" w:eastAsia="DFKai-SB"/>
          <w:szCs w:val="24"/>
          <w:lang w:eastAsia="zh-HK"/>
        </w:rPr>
        <w:t>、</w:t>
      </w:r>
      <w:r>
        <w:rPr>
          <w:rFonts w:ascii="Times New Roman" w:hAnsi="Times New Roman" w:eastAsia="DFKai-SB"/>
          <w:szCs w:val="24"/>
        </w:rPr>
        <w:t>2018 年 11 月30 日</w:t>
      </w:r>
      <w:r>
        <w:rPr>
          <w:rFonts w:hint="eastAsia" w:ascii="Times New Roman" w:hAnsi="Times New Roman" w:eastAsia="DFKai-SB"/>
          <w:szCs w:val="24"/>
          <w:lang w:eastAsia="zh-HK"/>
        </w:rPr>
        <w:t>、</w:t>
      </w:r>
      <w:r>
        <w:rPr>
          <w:rFonts w:ascii="Times New Roman" w:hAnsi="Times New Roman" w:eastAsia="DFKai-SB"/>
          <w:szCs w:val="24"/>
        </w:rPr>
        <w:t>2019 年 9 月18 日</w:t>
      </w:r>
      <w:r>
        <w:rPr>
          <w:rFonts w:hint="eastAsia" w:ascii="Times New Roman" w:hAnsi="Times New Roman" w:eastAsia="DFKai-SB"/>
          <w:szCs w:val="24"/>
          <w:lang w:eastAsia="zh-HK"/>
        </w:rPr>
        <w:t>、</w:t>
      </w:r>
      <w:r>
        <w:rPr>
          <w:rFonts w:ascii="Times New Roman" w:hAnsi="Times New Roman" w:eastAsia="DFKai-SB"/>
          <w:szCs w:val="24"/>
        </w:rPr>
        <w:t>2019 年 10 月 11 日</w:t>
      </w:r>
      <w:r>
        <w:rPr>
          <w:rFonts w:hint="eastAsia" w:ascii="Times New Roman" w:hAnsi="Times New Roman" w:eastAsia="DFKai-SB"/>
          <w:szCs w:val="24"/>
          <w:lang w:eastAsia="zh-HK"/>
        </w:rPr>
        <w:t>和</w:t>
      </w:r>
      <w:r>
        <w:rPr>
          <w:rFonts w:ascii="Times New Roman" w:hAnsi="Times New Roman" w:eastAsia="DFKai-SB"/>
          <w:szCs w:val="24"/>
        </w:rPr>
        <w:t>2020 年 3 月 20 日的公告。除非本公告另有界定，本公告所用詞彙與上述公告所界定者具有相同涵義。</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ascii="Times New Roman" w:hAnsi="Times New Roman" w:eastAsia="DFKai-SB"/>
          <w:szCs w:val="24"/>
        </w:rPr>
        <w:t xml:space="preserve">本公司欣然宣佈，其獲通知就萬博權益進行的競標經已完成，本公司以掛牌價人民幣 </w:t>
      </w:r>
      <w:r>
        <w:rPr>
          <w:rFonts w:ascii="Times New Roman" w:hAnsi="Times New Roman"/>
          <w:szCs w:val="24"/>
        </w:rPr>
        <w:t>15,906,834.00</w:t>
      </w:r>
      <w:r>
        <w:rPr>
          <w:rFonts w:ascii="Times New Roman" w:hAnsi="Times New Roman" w:eastAsia="DFKai-SB"/>
          <w:szCs w:val="24"/>
        </w:rPr>
        <w:t>元中標。</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hint="eastAsia" w:ascii="Times New Roman" w:hAnsi="Times New Roman" w:eastAsia="DFKai-SB"/>
          <w:szCs w:val="24"/>
        </w:rPr>
        <w:t>在成功競標前，本公司已分別於2018年11月和2019年10月收購萬博化工40%和33%股權，</w:t>
      </w:r>
      <w:r>
        <w:rPr>
          <w:rFonts w:hint="eastAsia" w:ascii="Times New Roman" w:hAnsi="Times New Roman" w:eastAsia="DFKai-SB"/>
          <w:szCs w:val="24"/>
          <w:lang w:eastAsia="zh-HK"/>
        </w:rPr>
        <w:t>因而</w:t>
      </w:r>
      <w:r>
        <w:rPr>
          <w:rFonts w:hint="eastAsia" w:ascii="Times New Roman" w:hAnsi="Times New Roman" w:eastAsia="DFKai-SB"/>
          <w:szCs w:val="24"/>
        </w:rPr>
        <w:t>持有萬博化工73%的股權(</w:t>
      </w:r>
      <w:r>
        <w:rPr>
          <w:rFonts w:ascii="Times New Roman" w:hAnsi="Times New Roman" w:eastAsia="DFKai-SB"/>
          <w:szCs w:val="24"/>
        </w:rPr>
        <w:t>“</w:t>
      </w:r>
      <w:r>
        <w:rPr>
          <w:rFonts w:hint="eastAsia" w:ascii="Times New Roman" w:hAnsi="Times New Roman" w:eastAsia="DFKai-SB"/>
          <w:b/>
          <w:szCs w:val="24"/>
        </w:rPr>
        <w:t>前</w:t>
      </w:r>
      <w:r>
        <w:rPr>
          <w:rFonts w:hint="eastAsia" w:ascii="Times New Roman" w:hAnsi="Times New Roman" w:eastAsia="DFKai-SB"/>
          <w:b/>
          <w:szCs w:val="24"/>
          <w:lang w:eastAsia="zh-HK"/>
        </w:rPr>
        <w:t>次</w:t>
      </w:r>
      <w:r>
        <w:rPr>
          <w:rFonts w:hint="eastAsia" w:ascii="Times New Roman" w:hAnsi="Times New Roman" w:eastAsia="DFKai-SB"/>
          <w:b/>
          <w:szCs w:val="24"/>
        </w:rPr>
        <w:t>收購</w:t>
      </w:r>
      <w:r>
        <w:rPr>
          <w:rFonts w:ascii="Times New Roman" w:hAnsi="Times New Roman" w:eastAsia="DFKai-SB"/>
          <w:szCs w:val="24"/>
        </w:rPr>
        <w:t>”</w:t>
      </w:r>
      <w:r>
        <w:rPr>
          <w:rFonts w:hint="eastAsia" w:ascii="Times New Roman" w:hAnsi="Times New Roman" w:eastAsia="DFKai-SB"/>
          <w:szCs w:val="24"/>
        </w:rPr>
        <w:t>）。前</w:t>
      </w:r>
      <w:r>
        <w:rPr>
          <w:rFonts w:hint="eastAsia" w:ascii="Times New Roman" w:hAnsi="Times New Roman" w:eastAsia="DFKai-SB"/>
          <w:szCs w:val="24"/>
          <w:lang w:eastAsia="zh-HK"/>
        </w:rPr>
        <w:t>次</w:t>
      </w:r>
      <w:r>
        <w:rPr>
          <w:rFonts w:hint="eastAsia" w:ascii="Times New Roman" w:hAnsi="Times New Roman" w:eastAsia="DFKai-SB"/>
          <w:szCs w:val="24"/>
        </w:rPr>
        <w:t>收購的詳情已於本公司日期為2018年10月22日</w:t>
      </w:r>
      <w:r>
        <w:rPr>
          <w:rFonts w:hint="eastAsia" w:ascii="Times New Roman" w:hAnsi="Times New Roman" w:eastAsia="DFKai-SB"/>
          <w:szCs w:val="24"/>
          <w:lang w:eastAsia="zh-HK"/>
        </w:rPr>
        <w:t>、</w:t>
      </w:r>
      <w:r>
        <w:rPr>
          <w:rFonts w:hint="eastAsia" w:ascii="Times New Roman" w:hAnsi="Times New Roman" w:eastAsia="DFKai-SB"/>
          <w:szCs w:val="24"/>
        </w:rPr>
        <w:t>2018年11月30日</w:t>
      </w:r>
      <w:r>
        <w:rPr>
          <w:rFonts w:hint="eastAsia" w:ascii="Times New Roman" w:hAnsi="Times New Roman" w:eastAsia="DFKai-SB"/>
          <w:szCs w:val="24"/>
          <w:lang w:eastAsia="zh-HK"/>
        </w:rPr>
        <w:t>、</w:t>
      </w:r>
      <w:r>
        <w:rPr>
          <w:rFonts w:hint="eastAsia" w:ascii="Times New Roman" w:hAnsi="Times New Roman" w:eastAsia="DFKai-SB"/>
          <w:szCs w:val="24"/>
        </w:rPr>
        <w:t>2019年9月18日及2019年10月11日的公告中宣布。</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b/>
          <w:szCs w:val="24"/>
        </w:rPr>
      </w:pPr>
      <w:r>
        <w:rPr>
          <w:rFonts w:ascii="Times New Roman" w:hAnsi="Times New Roman" w:eastAsia="DFKai-SB"/>
          <w:b/>
          <w:bCs/>
          <w:color w:val="231F20"/>
          <w:spacing w:val="4"/>
          <w:szCs w:val="24"/>
          <w:lang w:eastAsia="zh-HK"/>
        </w:rPr>
        <w:t>股</w:t>
      </w:r>
      <w:r>
        <w:rPr>
          <w:rFonts w:ascii="Times New Roman" w:hAnsi="Times New Roman" w:eastAsia="DFKai-SB"/>
          <w:b/>
          <w:bCs/>
          <w:color w:val="231F20"/>
          <w:spacing w:val="4"/>
          <w:szCs w:val="24"/>
        </w:rPr>
        <w:t>權</w:t>
      </w:r>
      <w:r>
        <w:rPr>
          <w:rFonts w:ascii="Times New Roman" w:hAnsi="Times New Roman" w:eastAsia="DFKai-SB"/>
          <w:b/>
          <w:bCs/>
          <w:color w:val="231F20"/>
          <w:spacing w:val="4"/>
          <w:szCs w:val="24"/>
          <w:lang w:eastAsia="zh-HK"/>
        </w:rPr>
        <w:t>轉</w:t>
      </w:r>
      <w:r>
        <w:rPr>
          <w:rFonts w:ascii="Times New Roman" w:hAnsi="Times New Roman" w:eastAsia="DFKai-SB"/>
          <w:b/>
          <w:bCs/>
          <w:color w:val="231F20"/>
          <w:spacing w:val="4"/>
          <w:szCs w:val="24"/>
        </w:rPr>
        <w:t>讓</w:t>
      </w:r>
      <w:r>
        <w:rPr>
          <w:rFonts w:ascii="Times New Roman" w:hAnsi="Times New Roman" w:eastAsia="DFKai-SB"/>
          <w:b/>
          <w:szCs w:val="24"/>
        </w:rPr>
        <w:t>協議</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ascii="Times New Roman" w:hAnsi="Times New Roman" w:eastAsia="DFKai-SB"/>
          <w:szCs w:val="24"/>
        </w:rPr>
        <w:t>隨著本公司中標，本公司已就萬博權益訂立</w:t>
      </w:r>
      <w:r>
        <w:rPr>
          <w:rFonts w:ascii="Times New Roman" w:hAnsi="Times New Roman" w:eastAsia="DFKai-SB"/>
          <w:bCs/>
          <w:color w:val="231F20"/>
          <w:spacing w:val="4"/>
          <w:szCs w:val="24"/>
          <w:lang w:eastAsia="zh-HK"/>
        </w:rPr>
        <w:t>股</w:t>
      </w:r>
      <w:r>
        <w:rPr>
          <w:rFonts w:ascii="Times New Roman" w:hAnsi="Times New Roman" w:eastAsia="DFKai-SB"/>
          <w:bCs/>
          <w:color w:val="231F20"/>
          <w:spacing w:val="4"/>
          <w:szCs w:val="24"/>
        </w:rPr>
        <w:t>權</w:t>
      </w:r>
      <w:r>
        <w:rPr>
          <w:rFonts w:ascii="Times New Roman" w:hAnsi="Times New Roman" w:eastAsia="DFKai-SB"/>
          <w:bCs/>
          <w:color w:val="231F20"/>
          <w:spacing w:val="4"/>
          <w:szCs w:val="24"/>
          <w:lang w:eastAsia="zh-HK"/>
        </w:rPr>
        <w:t>轉</w:t>
      </w:r>
      <w:r>
        <w:rPr>
          <w:rFonts w:ascii="Times New Roman" w:hAnsi="Times New Roman" w:eastAsia="DFKai-SB"/>
          <w:bCs/>
          <w:color w:val="231F20"/>
          <w:spacing w:val="4"/>
          <w:szCs w:val="24"/>
        </w:rPr>
        <w:t>讓</w:t>
      </w:r>
      <w:r>
        <w:rPr>
          <w:rFonts w:ascii="Times New Roman" w:hAnsi="Times New Roman" w:eastAsia="DFKai-SB"/>
          <w:szCs w:val="24"/>
        </w:rPr>
        <w:t>協議（「</w:t>
      </w:r>
      <w:r>
        <w:rPr>
          <w:rFonts w:ascii="Times New Roman" w:hAnsi="Times New Roman" w:eastAsia="DFKai-SB"/>
          <w:b/>
          <w:szCs w:val="24"/>
        </w:rPr>
        <w:t>協議</w:t>
      </w:r>
      <w:r>
        <w:rPr>
          <w:rFonts w:ascii="Times New Roman" w:hAnsi="Times New Roman" w:eastAsia="DFKai-SB"/>
          <w:szCs w:val="24"/>
        </w:rPr>
        <w:t>」）</w:t>
      </w:r>
      <w:r>
        <w:rPr>
          <w:rFonts w:ascii="Times New Roman" w:hAnsi="Times New Roman" w:eastAsia="DFKai-SB"/>
          <w:szCs w:val="24"/>
          <w:lang w:eastAsia="zh-HK"/>
        </w:rPr>
        <w:t>。</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ascii="Times New Roman" w:hAnsi="Times New Roman" w:eastAsia="DFKai-SB"/>
          <w:szCs w:val="24"/>
        </w:rPr>
        <w:t>協議主要條款載列如下：</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b/>
          <w:szCs w:val="24"/>
        </w:rPr>
      </w:pPr>
      <w:r>
        <w:rPr>
          <w:rFonts w:ascii="Times New Roman" w:hAnsi="Times New Roman" w:eastAsia="DFKai-SB"/>
          <w:b/>
          <w:szCs w:val="24"/>
        </w:rPr>
        <w:t>日期</w:t>
      </w:r>
    </w:p>
    <w:p>
      <w:pPr>
        <w:pStyle w:val="5"/>
        <w:snapToGrid w:val="0"/>
        <w:jc w:val="both"/>
        <w:rPr>
          <w:rFonts w:ascii="Times New Roman" w:hAnsi="Times New Roman" w:eastAsia="DFKai-SB"/>
          <w:b/>
          <w:szCs w:val="24"/>
        </w:rPr>
      </w:pPr>
    </w:p>
    <w:p>
      <w:pPr>
        <w:pStyle w:val="5"/>
        <w:snapToGrid w:val="0"/>
        <w:jc w:val="both"/>
        <w:rPr>
          <w:rFonts w:ascii="Times New Roman" w:hAnsi="Times New Roman" w:eastAsia="DFKai-SB"/>
          <w:szCs w:val="24"/>
        </w:rPr>
      </w:pPr>
      <w:r>
        <w:rPr>
          <w:rFonts w:ascii="Times New Roman" w:hAnsi="Times New Roman" w:eastAsia="DFKai-SB"/>
          <w:szCs w:val="24"/>
        </w:rPr>
        <w:t xml:space="preserve">2020 年 4 月 </w:t>
      </w:r>
      <w:r>
        <w:rPr>
          <w:rFonts w:ascii="Times New Roman" w:hAnsi="Times New Roman"/>
          <w:szCs w:val="24"/>
        </w:rPr>
        <w:t xml:space="preserve">20 </w:t>
      </w:r>
      <w:r>
        <w:rPr>
          <w:rFonts w:ascii="Times New Roman" w:hAnsi="Times New Roman" w:eastAsia="DFKai-SB"/>
          <w:szCs w:val="24"/>
        </w:rPr>
        <w:t>日（於聯交所交易時段後）</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b/>
          <w:szCs w:val="24"/>
        </w:rPr>
      </w:pPr>
      <w:r>
        <w:rPr>
          <w:rFonts w:ascii="Times New Roman" w:hAnsi="Times New Roman" w:eastAsia="DFKai-SB"/>
          <w:b/>
          <w:szCs w:val="24"/>
        </w:rPr>
        <w:t>訂約方</w:t>
      </w:r>
    </w:p>
    <w:p>
      <w:pPr>
        <w:pStyle w:val="5"/>
        <w:snapToGrid w:val="0"/>
        <w:jc w:val="both"/>
        <w:rPr>
          <w:rFonts w:ascii="Times New Roman" w:hAnsi="Times New Roman" w:eastAsia="DFKai-SB"/>
          <w:b/>
          <w:szCs w:val="24"/>
        </w:rPr>
      </w:pPr>
    </w:p>
    <w:p>
      <w:pPr>
        <w:pStyle w:val="5"/>
        <w:snapToGrid w:val="0"/>
        <w:jc w:val="both"/>
        <w:rPr>
          <w:rFonts w:ascii="Times New Roman" w:hAnsi="Times New Roman" w:eastAsia="DFKai-SB"/>
          <w:szCs w:val="24"/>
        </w:rPr>
      </w:pPr>
      <w:r>
        <w:rPr>
          <w:rFonts w:ascii="Times New Roman" w:hAnsi="Times New Roman" w:eastAsia="DFKai-SB"/>
          <w:szCs w:val="24"/>
        </w:rPr>
        <w:t>1. 本公司；及</w:t>
      </w:r>
    </w:p>
    <w:p>
      <w:pPr>
        <w:pStyle w:val="5"/>
        <w:snapToGrid w:val="0"/>
        <w:jc w:val="both"/>
        <w:rPr>
          <w:rFonts w:ascii="Times New Roman" w:hAnsi="Times New Roman" w:eastAsia="DFKai-SB"/>
          <w:szCs w:val="24"/>
        </w:rPr>
      </w:pPr>
      <w:r>
        <w:rPr>
          <w:rFonts w:ascii="Times New Roman" w:hAnsi="Times New Roman" w:eastAsia="DFKai-SB"/>
          <w:szCs w:val="24"/>
        </w:rPr>
        <w:t>2. 華魯控股集團</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b/>
          <w:szCs w:val="24"/>
        </w:rPr>
      </w:pPr>
      <w:r>
        <w:rPr>
          <w:rFonts w:ascii="Times New Roman" w:hAnsi="Times New Roman" w:eastAsia="DFKai-SB"/>
          <w:b/>
          <w:szCs w:val="24"/>
        </w:rPr>
        <w:t>協議事項</w:t>
      </w:r>
    </w:p>
    <w:p>
      <w:pPr>
        <w:pStyle w:val="5"/>
        <w:snapToGrid w:val="0"/>
        <w:jc w:val="both"/>
        <w:rPr>
          <w:rFonts w:ascii="Times New Roman" w:hAnsi="Times New Roman" w:eastAsia="DFKai-SB"/>
          <w:b/>
          <w:szCs w:val="24"/>
        </w:rPr>
      </w:pPr>
    </w:p>
    <w:p>
      <w:pPr>
        <w:pStyle w:val="5"/>
        <w:snapToGrid w:val="0"/>
        <w:jc w:val="both"/>
        <w:rPr>
          <w:rFonts w:ascii="Times New Roman" w:hAnsi="Times New Roman" w:eastAsia="DFKai-SB"/>
          <w:szCs w:val="24"/>
        </w:rPr>
      </w:pPr>
      <w:r>
        <w:rPr>
          <w:rFonts w:ascii="Times New Roman" w:hAnsi="Times New Roman" w:eastAsia="DFKai-SB"/>
          <w:szCs w:val="24"/>
        </w:rPr>
        <w:t>本公司將就萬博權益支付人民幣</w:t>
      </w:r>
      <w:r>
        <w:rPr>
          <w:rFonts w:ascii="Times New Roman" w:hAnsi="Times New Roman"/>
          <w:szCs w:val="24"/>
        </w:rPr>
        <w:t>15,906,834.00</w:t>
      </w:r>
      <w:r>
        <w:rPr>
          <w:rFonts w:ascii="Times New Roman" w:hAnsi="Times New Roman" w:eastAsia="DFKai-SB"/>
          <w:szCs w:val="24"/>
        </w:rPr>
        <w:t>元作為代價（「</w:t>
      </w:r>
      <w:r>
        <w:rPr>
          <w:rFonts w:ascii="Times New Roman" w:hAnsi="Times New Roman" w:eastAsia="DFKai-SB"/>
          <w:b/>
          <w:szCs w:val="24"/>
        </w:rPr>
        <w:t>轉讓代價</w:t>
      </w:r>
      <w:r>
        <w:rPr>
          <w:rFonts w:ascii="Times New Roman" w:hAnsi="Times New Roman" w:eastAsia="DFKai-SB"/>
          <w:szCs w:val="24"/>
        </w:rPr>
        <w:t>」）</w:t>
      </w:r>
      <w:r>
        <w:rPr>
          <w:rFonts w:ascii="Times New Roman" w:hAnsi="Times New Roman" w:eastAsia="DFKai-SB"/>
          <w:szCs w:val="24"/>
          <w:lang w:eastAsia="zh-HK"/>
        </w:rPr>
        <w:t>予</w:t>
      </w:r>
      <w:r>
        <w:rPr>
          <w:rFonts w:ascii="Times New Roman" w:hAnsi="Times New Roman" w:eastAsia="DFKai-SB"/>
          <w:szCs w:val="24"/>
        </w:rPr>
        <w:t>華魯控股集團。本公司已於提交競標申請時支付人民幣2百萬元保證金（「</w:t>
      </w:r>
      <w:r>
        <w:rPr>
          <w:rFonts w:ascii="Times New Roman" w:hAnsi="Times New Roman" w:eastAsia="DFKai-SB"/>
          <w:b/>
          <w:bCs/>
          <w:szCs w:val="24"/>
        </w:rPr>
        <w:t>保證金</w:t>
      </w:r>
      <w:r>
        <w:rPr>
          <w:rFonts w:ascii="Times New Roman" w:hAnsi="Times New Roman" w:eastAsia="DFKai-SB"/>
          <w:szCs w:val="24"/>
        </w:rPr>
        <w:t>」），而保證金將計入並用作抵銷部分轉讓代價。本公司須自協議日期起計五個營業日內</w:t>
      </w:r>
      <w:r>
        <w:rPr>
          <w:rFonts w:ascii="Times New Roman" w:hAnsi="Times New Roman" w:eastAsia="DFKai-SB"/>
          <w:szCs w:val="24"/>
          <w:lang w:eastAsia="zh-HK"/>
        </w:rPr>
        <w:t>支付</w:t>
      </w:r>
      <w:r>
        <w:rPr>
          <w:rFonts w:ascii="Times New Roman" w:hAnsi="Times New Roman" w:eastAsia="DFKai-SB"/>
          <w:szCs w:val="24"/>
        </w:rPr>
        <w:t>人民幣 13,906,834.00元，方式為一次性將</w:t>
      </w:r>
      <w:r>
        <w:rPr>
          <w:rFonts w:hint="eastAsia" w:ascii="Times New Roman" w:hAnsi="Times New Roman" w:eastAsia="DFKai-SB"/>
          <w:szCs w:val="24"/>
        </w:rPr>
        <w:t>現金匯款</w:t>
      </w:r>
      <w:r>
        <w:rPr>
          <w:rFonts w:ascii="Times New Roman" w:hAnsi="Times New Roman" w:eastAsia="DFKai-SB"/>
          <w:szCs w:val="24"/>
        </w:rPr>
        <w:t>至山東產權交易中心就</w:t>
      </w:r>
      <w:r>
        <w:rPr>
          <w:rFonts w:ascii="Times New Roman" w:hAnsi="Times New Roman" w:eastAsia="DFKai-SB"/>
          <w:szCs w:val="24"/>
          <w:lang w:eastAsia="zh-HK"/>
        </w:rPr>
        <w:t>完成</w:t>
      </w:r>
      <w:r>
        <w:rPr>
          <w:rFonts w:ascii="Times New Roman" w:hAnsi="Times New Roman" w:eastAsia="DFKai-SB"/>
          <w:szCs w:val="24"/>
        </w:rPr>
        <w:t>協議</w:t>
      </w:r>
      <w:r>
        <w:rPr>
          <w:rFonts w:ascii="Times New Roman" w:hAnsi="Times New Roman" w:eastAsia="DFKai-SB"/>
          <w:szCs w:val="24"/>
          <w:lang w:eastAsia="zh-HK"/>
        </w:rPr>
        <w:t>項下交易</w:t>
      </w:r>
      <w:r>
        <w:rPr>
          <w:rFonts w:ascii="Times New Roman" w:hAnsi="Times New Roman" w:eastAsia="DFKai-SB"/>
          <w:szCs w:val="24"/>
        </w:rPr>
        <w:t>而指定的專項銀行戶口。</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ascii="Times New Roman" w:hAnsi="Times New Roman" w:eastAsia="DFKai-SB"/>
          <w:szCs w:val="24"/>
          <w:lang w:val="zh-CN" w:eastAsia="zh-HK"/>
        </w:rPr>
        <w:t>於</w:t>
      </w:r>
      <w:r>
        <w:rPr>
          <w:rFonts w:ascii="Times New Roman" w:hAnsi="Times New Roman" w:eastAsia="DFKai-SB"/>
          <w:szCs w:val="24"/>
          <w:lang w:val="zh-CN"/>
        </w:rPr>
        <w:t>本公司</w:t>
      </w:r>
      <w:r>
        <w:rPr>
          <w:rFonts w:hint="eastAsia" w:ascii="Times New Roman" w:hAnsi="Times New Roman" w:eastAsia="DFKai-SB"/>
          <w:szCs w:val="24"/>
          <w:lang w:val="zh-CN"/>
        </w:rPr>
        <w:t>2018</w:t>
      </w:r>
      <w:r>
        <w:rPr>
          <w:rFonts w:hint="eastAsia" w:ascii="Times New Roman" w:hAnsi="Times New Roman" w:eastAsia="DFKai-SB"/>
          <w:szCs w:val="24"/>
          <w:lang w:val="zh-CN" w:eastAsia="zh-HK"/>
        </w:rPr>
        <w:t>年</w:t>
      </w:r>
      <w:r>
        <w:rPr>
          <w:rFonts w:hint="eastAsia" w:ascii="Times New Roman" w:hAnsi="Times New Roman" w:eastAsia="DFKai-SB"/>
          <w:szCs w:val="24"/>
          <w:lang w:val="zh-CN"/>
        </w:rPr>
        <w:t>11</w:t>
      </w:r>
      <w:r>
        <w:rPr>
          <w:rFonts w:hint="eastAsia" w:ascii="Times New Roman" w:hAnsi="Times New Roman" w:eastAsia="DFKai-SB"/>
          <w:szCs w:val="24"/>
          <w:lang w:val="zh-CN" w:eastAsia="zh-HK"/>
        </w:rPr>
        <w:t>月及</w:t>
      </w:r>
      <w:r>
        <w:rPr>
          <w:rFonts w:ascii="Times New Roman" w:hAnsi="Times New Roman" w:eastAsia="DFKai-SB"/>
          <w:szCs w:val="24"/>
          <w:lang w:val="zh-CN"/>
        </w:rPr>
        <w:t>2019年</w:t>
      </w:r>
      <w:r>
        <w:rPr>
          <w:rFonts w:hint="eastAsia" w:ascii="Times New Roman" w:hAnsi="Times New Roman" w:eastAsia="DFKai-SB"/>
          <w:szCs w:val="24"/>
          <w:lang w:val="zh-CN"/>
        </w:rPr>
        <w:t>10</w:t>
      </w:r>
      <w:r>
        <w:rPr>
          <w:rFonts w:hint="eastAsia" w:ascii="Times New Roman" w:hAnsi="Times New Roman" w:eastAsia="DFKai-SB"/>
          <w:szCs w:val="24"/>
          <w:lang w:val="zh-CN" w:eastAsia="zh-HK"/>
        </w:rPr>
        <w:t>月</w:t>
      </w:r>
      <w:r>
        <w:rPr>
          <w:rFonts w:ascii="Times New Roman" w:hAnsi="Times New Roman" w:eastAsia="DFKai-SB"/>
          <w:szCs w:val="24"/>
          <w:lang w:val="zh-CN"/>
        </w:rPr>
        <w:t>收購了萬博化工</w:t>
      </w:r>
      <w:r>
        <w:rPr>
          <w:rFonts w:hint="eastAsia" w:ascii="Times New Roman" w:hAnsi="Times New Roman" w:eastAsia="DFKai-SB"/>
          <w:szCs w:val="24"/>
          <w:lang w:val="zh-CN"/>
        </w:rPr>
        <w:t>40%</w:t>
      </w:r>
      <w:r>
        <w:rPr>
          <w:rFonts w:hint="eastAsia" w:ascii="Times New Roman" w:hAnsi="Times New Roman" w:eastAsia="DFKai-SB"/>
          <w:szCs w:val="24"/>
          <w:lang w:val="zh-CN" w:eastAsia="zh-HK"/>
        </w:rPr>
        <w:t>和</w:t>
      </w:r>
      <w:r>
        <w:rPr>
          <w:rFonts w:ascii="Times New Roman" w:hAnsi="Times New Roman" w:eastAsia="DFKai-SB"/>
          <w:szCs w:val="24"/>
          <w:lang w:val="zh-CN"/>
        </w:rPr>
        <w:t>33%的股</w:t>
      </w:r>
      <w:r>
        <w:rPr>
          <w:rFonts w:hint="eastAsia" w:ascii="Times New Roman" w:hAnsi="Times New Roman" w:eastAsia="DFKai-SB"/>
          <w:szCs w:val="24"/>
        </w:rPr>
        <w:t>權</w:t>
      </w:r>
      <w:r>
        <w:rPr>
          <w:rFonts w:ascii="Times New Roman" w:hAnsi="Times New Roman" w:eastAsia="DFKai-SB"/>
          <w:szCs w:val="24"/>
          <w:lang w:val="zh-CN" w:eastAsia="zh-HK"/>
        </w:rPr>
        <w:t>後</w:t>
      </w:r>
      <w:r>
        <w:rPr>
          <w:rFonts w:ascii="Times New Roman" w:hAnsi="Times New Roman" w:eastAsia="DFKai-SB"/>
          <w:szCs w:val="24"/>
          <w:lang w:val="zh-CN"/>
        </w:rPr>
        <w:t>，萬博化工目前由</w:t>
      </w:r>
      <w:r>
        <w:rPr>
          <w:rFonts w:ascii="Times New Roman" w:hAnsi="Times New Roman" w:eastAsia="DFKai-SB"/>
          <w:szCs w:val="24"/>
        </w:rPr>
        <w:t>華魯控股集團擁有其27% 的股本及本公司擁有其73%的股本。協議項下的交易完成後，本公司將擁有萬博化工100%的股本，萬博化工將</w:t>
      </w:r>
      <w:r>
        <w:rPr>
          <w:rFonts w:ascii="Times New Roman" w:hAnsi="Times New Roman" w:eastAsia="DFKai-SB"/>
          <w:szCs w:val="24"/>
          <w:lang w:eastAsia="zh-HK"/>
        </w:rPr>
        <w:t>成為本公司的全資附</w:t>
      </w:r>
      <w:r>
        <w:rPr>
          <w:rFonts w:ascii="Times New Roman" w:hAnsi="Times New Roman" w:eastAsia="DFKai-SB"/>
          <w:szCs w:val="24"/>
        </w:rPr>
        <w:t>屬</w:t>
      </w:r>
      <w:r>
        <w:rPr>
          <w:rFonts w:ascii="Times New Roman" w:hAnsi="Times New Roman" w:eastAsia="DFKai-SB"/>
          <w:szCs w:val="24"/>
          <w:lang w:eastAsia="zh-HK"/>
        </w:rPr>
        <w:t>公司</w:t>
      </w:r>
      <w:r>
        <w:rPr>
          <w:rFonts w:ascii="Times New Roman" w:hAnsi="Times New Roman" w:eastAsia="DFKai-SB"/>
          <w:szCs w:val="24"/>
        </w:rPr>
        <w:t>，而萬博化工亦會更新其公司章程及企業管治架構，以相應反映</w:t>
      </w:r>
      <w:r>
        <w:rPr>
          <w:rFonts w:ascii="Times New Roman" w:hAnsi="Times New Roman" w:eastAsia="DFKai-SB"/>
          <w:szCs w:val="24"/>
          <w:lang w:eastAsia="zh-HK"/>
        </w:rPr>
        <w:t>收購</w:t>
      </w:r>
      <w:r>
        <w:rPr>
          <w:rFonts w:ascii="Times New Roman" w:hAnsi="Times New Roman" w:eastAsia="DFKai-SB"/>
          <w:szCs w:val="24"/>
        </w:rPr>
        <w:t>萬博權益</w:t>
      </w:r>
      <w:r>
        <w:rPr>
          <w:rFonts w:ascii="Times New Roman" w:hAnsi="Times New Roman" w:eastAsia="DFKai-SB"/>
          <w:szCs w:val="24"/>
          <w:lang w:eastAsia="zh-HK"/>
        </w:rPr>
        <w:t>後</w:t>
      </w:r>
      <w:r>
        <w:rPr>
          <w:rFonts w:ascii="Times New Roman" w:hAnsi="Times New Roman" w:eastAsia="DFKai-SB"/>
          <w:szCs w:val="24"/>
        </w:rPr>
        <w:t>的新持股架構。</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bCs/>
          <w:szCs w:val="24"/>
        </w:rPr>
      </w:pPr>
    </w:p>
    <w:p>
      <w:pPr>
        <w:pStyle w:val="5"/>
        <w:snapToGrid w:val="0"/>
        <w:jc w:val="both"/>
        <w:rPr>
          <w:rFonts w:ascii="Times New Roman" w:hAnsi="Times New Roman" w:eastAsia="DFKai-SB"/>
          <w:b/>
          <w:szCs w:val="24"/>
          <w:lang w:val="zh-CN"/>
        </w:rPr>
      </w:pPr>
      <w:r>
        <w:rPr>
          <w:rFonts w:ascii="Times New Roman" w:hAnsi="Times New Roman" w:eastAsia="DFKai-SB"/>
          <w:b/>
          <w:szCs w:val="24"/>
        </w:rPr>
        <w:t>轉讓代價</w:t>
      </w:r>
      <w:r>
        <w:rPr>
          <w:rFonts w:ascii="Times New Roman" w:hAnsi="Times New Roman" w:eastAsia="DFKai-SB"/>
          <w:b/>
          <w:szCs w:val="24"/>
          <w:lang w:val="zh-CN"/>
        </w:rPr>
        <w:t>及基準</w:t>
      </w:r>
    </w:p>
    <w:p>
      <w:pPr>
        <w:pStyle w:val="5"/>
        <w:snapToGrid w:val="0"/>
        <w:jc w:val="both"/>
        <w:rPr>
          <w:rFonts w:ascii="Times New Roman" w:hAnsi="Times New Roman" w:eastAsia="DFKai-SB"/>
          <w:bCs/>
          <w:szCs w:val="24"/>
        </w:rPr>
      </w:pPr>
    </w:p>
    <w:p>
      <w:pPr>
        <w:pStyle w:val="5"/>
        <w:snapToGrid w:val="0"/>
        <w:jc w:val="both"/>
        <w:rPr>
          <w:rFonts w:ascii="Times New Roman" w:hAnsi="Times New Roman" w:eastAsia="DFKai-SB"/>
          <w:bCs/>
          <w:szCs w:val="24"/>
        </w:rPr>
      </w:pPr>
      <w:r>
        <w:rPr>
          <w:rFonts w:ascii="Times New Roman" w:hAnsi="Times New Roman" w:eastAsia="DFKai-SB"/>
          <w:szCs w:val="24"/>
        </w:rPr>
        <w:t>轉讓代價</w:t>
      </w:r>
      <w:r>
        <w:rPr>
          <w:rFonts w:ascii="Times New Roman" w:hAnsi="Times New Roman" w:eastAsia="DFKai-SB"/>
          <w:szCs w:val="24"/>
          <w:lang w:eastAsia="zh-HK"/>
        </w:rPr>
        <w:t>金</w:t>
      </w:r>
      <w:r>
        <w:rPr>
          <w:rFonts w:ascii="Times New Roman" w:hAnsi="Times New Roman" w:eastAsia="DFKai-SB"/>
          <w:bCs/>
          <w:szCs w:val="24"/>
        </w:rPr>
        <w:t>額為競標開始時的萬博權益掛牌價。掛牌價乃經參考中瑞世聯資產評估</w:t>
      </w:r>
      <w:r>
        <w:rPr>
          <w:rFonts w:ascii="Times New Roman" w:hAnsi="Times New Roman" w:eastAsia="DFKai-SB"/>
          <w:szCs w:val="24"/>
        </w:rPr>
        <w:t>（</w:t>
      </w:r>
      <w:r>
        <w:rPr>
          <w:rFonts w:ascii="Times New Roman" w:hAnsi="Times New Roman" w:eastAsia="DFKai-SB"/>
          <w:bCs/>
          <w:szCs w:val="24"/>
        </w:rPr>
        <w:t>北京</w:t>
      </w:r>
      <w:r>
        <w:rPr>
          <w:rFonts w:ascii="Times New Roman" w:hAnsi="Times New Roman" w:eastAsia="DFKai-SB"/>
          <w:szCs w:val="24"/>
        </w:rPr>
        <w:t>）</w:t>
      </w:r>
      <w:r>
        <w:rPr>
          <w:rFonts w:ascii="Times New Roman" w:hAnsi="Times New Roman" w:eastAsia="DFKai-SB"/>
          <w:bCs/>
          <w:szCs w:val="24"/>
        </w:rPr>
        <w:t>有限公司</w:t>
      </w:r>
      <w:r>
        <w:rPr>
          <w:rFonts w:ascii="Times New Roman" w:hAnsi="Times New Roman" w:eastAsia="DFKai-SB"/>
          <w:szCs w:val="24"/>
        </w:rPr>
        <w:t>（「</w:t>
      </w:r>
      <w:r>
        <w:rPr>
          <w:rFonts w:ascii="Times New Roman" w:hAnsi="Times New Roman" w:eastAsia="DFKai-SB"/>
          <w:b/>
          <w:szCs w:val="24"/>
        </w:rPr>
        <w:t>估值師</w:t>
      </w:r>
      <w:r>
        <w:rPr>
          <w:rFonts w:ascii="Times New Roman" w:hAnsi="Times New Roman" w:eastAsia="DFKai-SB"/>
          <w:szCs w:val="24"/>
        </w:rPr>
        <w:t>」）</w:t>
      </w:r>
      <w:r>
        <w:rPr>
          <w:rFonts w:ascii="Times New Roman" w:hAnsi="Times New Roman" w:eastAsia="DFKai-SB"/>
          <w:bCs/>
          <w:szCs w:val="24"/>
        </w:rPr>
        <w:t xml:space="preserve">評估進行的估值釐定，其為中國合資格的估值機構。 </w:t>
      </w:r>
    </w:p>
    <w:p>
      <w:pPr>
        <w:pStyle w:val="5"/>
        <w:snapToGrid w:val="0"/>
        <w:jc w:val="both"/>
        <w:rPr>
          <w:rFonts w:ascii="Times New Roman" w:hAnsi="Times New Roman" w:eastAsia="DFKai-SB"/>
          <w:bCs/>
          <w:szCs w:val="24"/>
        </w:rPr>
      </w:pPr>
    </w:p>
    <w:p>
      <w:pPr>
        <w:pStyle w:val="5"/>
        <w:snapToGrid w:val="0"/>
        <w:jc w:val="both"/>
        <w:rPr>
          <w:rFonts w:ascii="Times New Roman" w:hAnsi="Times New Roman" w:eastAsia="DFKai-SB"/>
          <w:bCs/>
          <w:szCs w:val="24"/>
          <w:lang w:val="zh-CN"/>
        </w:rPr>
      </w:pPr>
      <w:r>
        <w:rPr>
          <w:rFonts w:ascii="Times New Roman" w:hAnsi="Times New Roman" w:eastAsia="DFKai-SB"/>
          <w:bCs/>
          <w:szCs w:val="24"/>
          <w:lang w:val="zh-CN"/>
        </w:rPr>
        <w:t>根據估值師於日期為 2019 年 7 月 26 日發出的估值報告（「</w:t>
      </w:r>
      <w:r>
        <w:rPr>
          <w:rFonts w:ascii="Times New Roman" w:hAnsi="Times New Roman" w:eastAsia="DFKai-SB"/>
          <w:b/>
          <w:szCs w:val="24"/>
          <w:lang w:val="zh-CN"/>
        </w:rPr>
        <w:t>估值報告</w:t>
      </w:r>
      <w:r>
        <w:rPr>
          <w:rFonts w:ascii="Times New Roman" w:hAnsi="Times New Roman" w:eastAsia="DFKai-SB"/>
          <w:bCs/>
          <w:szCs w:val="24"/>
          <w:lang w:val="zh-CN"/>
        </w:rPr>
        <w:t>」），於 2019 年 4 月 30 日 （「</w:t>
      </w:r>
      <w:r>
        <w:rPr>
          <w:rFonts w:ascii="Times New Roman" w:hAnsi="Times New Roman" w:eastAsia="DFKai-SB"/>
          <w:b/>
          <w:szCs w:val="24"/>
          <w:lang w:val="zh-CN"/>
        </w:rPr>
        <w:t>基準日期</w:t>
      </w:r>
      <w:r>
        <w:rPr>
          <w:rFonts w:ascii="Times New Roman" w:hAnsi="Times New Roman" w:eastAsia="DFKai-SB"/>
          <w:bCs/>
          <w:szCs w:val="24"/>
          <w:lang w:val="zh-CN"/>
        </w:rPr>
        <w:t>」）：</w:t>
      </w:r>
    </w:p>
    <w:p>
      <w:pPr>
        <w:pStyle w:val="5"/>
        <w:snapToGrid w:val="0"/>
        <w:jc w:val="both"/>
        <w:rPr>
          <w:rFonts w:ascii="Times New Roman" w:hAnsi="Times New Roman" w:eastAsia="DFKai-SB"/>
          <w:bCs/>
          <w:szCs w:val="24"/>
          <w:lang w:val="zh-CN"/>
        </w:rPr>
      </w:pPr>
    </w:p>
    <w:p>
      <w:pPr>
        <w:pStyle w:val="5"/>
        <w:numPr>
          <w:ilvl w:val="0"/>
          <w:numId w:val="1"/>
        </w:numPr>
        <w:snapToGrid w:val="0"/>
        <w:jc w:val="both"/>
        <w:rPr>
          <w:rFonts w:ascii="Times New Roman" w:hAnsi="Times New Roman" w:eastAsia="DFKai-SB"/>
          <w:bCs/>
          <w:szCs w:val="24"/>
        </w:rPr>
      </w:pPr>
      <w:r>
        <w:rPr>
          <w:rFonts w:ascii="Times New Roman" w:hAnsi="Times New Roman" w:eastAsia="DFKai-SB"/>
          <w:bCs/>
          <w:szCs w:val="24"/>
        </w:rPr>
        <w:t>通過採用收益法估值，萬博化工股東全部權益價值（「價值」）為人民幣 58.9142 百萬元；及</w:t>
      </w:r>
    </w:p>
    <w:p>
      <w:pPr>
        <w:pStyle w:val="5"/>
        <w:numPr>
          <w:ilvl w:val="0"/>
          <w:numId w:val="1"/>
        </w:numPr>
        <w:snapToGrid w:val="0"/>
        <w:jc w:val="both"/>
        <w:rPr>
          <w:rFonts w:ascii="Times New Roman" w:hAnsi="Times New Roman" w:eastAsia="DFKai-SB"/>
          <w:bCs/>
          <w:szCs w:val="24"/>
        </w:rPr>
      </w:pPr>
      <w:r>
        <w:rPr>
          <w:rFonts w:ascii="Times New Roman" w:hAnsi="Times New Roman" w:eastAsia="DFKai-SB"/>
          <w:bCs/>
          <w:szCs w:val="24"/>
          <w:lang w:val="zh-CN"/>
        </w:rPr>
        <w:t>通過採用資產基礎法估值，萬博化工股東全部權益價值為人民幣 56.1162 百萬元。</w:t>
      </w:r>
    </w:p>
    <w:p>
      <w:pPr>
        <w:pStyle w:val="5"/>
        <w:snapToGrid w:val="0"/>
        <w:ind w:left="709"/>
        <w:jc w:val="both"/>
        <w:rPr>
          <w:rFonts w:ascii="Times New Roman" w:hAnsi="Times New Roman" w:eastAsia="DFKai-SB"/>
          <w:bCs/>
          <w:szCs w:val="24"/>
          <w:lang w:val="zh-CN"/>
        </w:rPr>
      </w:pPr>
    </w:p>
    <w:p>
      <w:pPr>
        <w:rPr>
          <w:rFonts w:eastAsia="DFKai-SB"/>
          <w:bCs/>
          <w:lang w:val="zh-CN"/>
        </w:rPr>
      </w:pPr>
      <w:r>
        <w:rPr>
          <w:rFonts w:eastAsia="DFKai-SB"/>
          <w:bCs/>
          <w:lang w:val="zh-CN"/>
        </w:rPr>
        <w:t>估值師已根據上述方法考慮估值結果，認為（i</w:t>
      </w:r>
      <w:r>
        <w:rPr>
          <w:rFonts w:eastAsia="DFKai-SB"/>
        </w:rPr>
        <w:t>）</w:t>
      </w:r>
      <w:r>
        <w:rPr>
          <w:rFonts w:eastAsia="DFKai-SB"/>
          <w:bCs/>
          <w:lang w:val="zh-CN"/>
        </w:rPr>
        <w:t>資產基礎法是從資產的再取得途徑考慮的，反映的是</w:t>
      </w:r>
      <w:r>
        <w:rPr>
          <w:rFonts w:eastAsia="DFKai-SB"/>
        </w:rPr>
        <w:t>萬博化工</w:t>
      </w:r>
      <w:r>
        <w:rPr>
          <w:rFonts w:eastAsia="DFKai-SB"/>
          <w:bCs/>
          <w:lang w:val="zh-CN"/>
        </w:rPr>
        <w:t>現有資產的重置價值；（ii</w:t>
      </w:r>
      <w:r>
        <w:rPr>
          <w:rFonts w:eastAsia="DFKai-SB"/>
        </w:rPr>
        <w:t>）收益法是從企業的未來獲利能力角度考慮的，反映了萬博化工各項資產的綜合獲利能力。考慮到萬博化工生產特定化工產品及經營情況較好，未來收益可較為準確預測。因此，由於</w:t>
      </w:r>
      <w:r>
        <w:rPr>
          <w:rFonts w:eastAsia="DFKai-SB"/>
          <w:bCs/>
          <w:lang w:val="zh-CN"/>
        </w:rPr>
        <w:t>收益法更能夠反映</w:t>
      </w:r>
      <w:r>
        <w:rPr>
          <w:rFonts w:eastAsia="DFKai-SB"/>
        </w:rPr>
        <w:t>萬博化工</w:t>
      </w:r>
      <w:r>
        <w:rPr>
          <w:rFonts w:eastAsia="DFKai-SB"/>
          <w:bCs/>
          <w:lang w:val="zh-CN"/>
        </w:rPr>
        <w:t>股東全部權益，估值師認為採用收益法更為適合。</w:t>
      </w:r>
    </w:p>
    <w:p>
      <w:pPr>
        <w:rPr>
          <w:rFonts w:eastAsia="DFKai-SB"/>
          <w:bCs/>
          <w:lang w:val="zh-CN"/>
        </w:rPr>
      </w:pPr>
    </w:p>
    <w:p>
      <w:pPr>
        <w:pStyle w:val="5"/>
        <w:snapToGrid w:val="0"/>
        <w:ind w:left="-11"/>
        <w:jc w:val="both"/>
        <w:rPr>
          <w:rFonts w:ascii="Times New Roman" w:hAnsi="Times New Roman" w:eastAsia="DFKai-SB"/>
          <w:bCs/>
          <w:szCs w:val="24"/>
          <w:lang w:val="zh-CN"/>
        </w:rPr>
      </w:pPr>
      <w:r>
        <w:rPr>
          <w:rFonts w:ascii="Times New Roman" w:hAnsi="Times New Roman" w:eastAsia="DFKai-SB"/>
          <w:bCs/>
          <w:szCs w:val="24"/>
          <w:lang w:val="zh-CN"/>
        </w:rPr>
        <w:t>估值報告的摘要（載有估值所基於的主要假設）已作為附錄載入並隨附本公告。</w:t>
      </w:r>
    </w:p>
    <w:p>
      <w:pPr>
        <w:rPr>
          <w:rFonts w:eastAsia="DFKai-SB"/>
          <w:bCs/>
          <w:lang w:val="zh-CN"/>
        </w:rPr>
      </w:pPr>
    </w:p>
    <w:p>
      <w:pPr>
        <w:rPr>
          <w:rFonts w:eastAsia="DFKai-SB"/>
          <w:b/>
          <w:lang w:val="zh-CN"/>
        </w:rPr>
      </w:pPr>
      <w:r>
        <w:rPr>
          <w:rFonts w:eastAsia="DFKai-SB"/>
          <w:b/>
          <w:bCs/>
        </w:rPr>
        <w:t>違</w:t>
      </w:r>
      <w:r>
        <w:rPr>
          <w:rFonts w:eastAsia="DFKai-SB"/>
          <w:b/>
          <w:bCs/>
          <w:lang w:eastAsia="zh-HK"/>
        </w:rPr>
        <w:t>約責</w:t>
      </w:r>
      <w:r>
        <w:rPr>
          <w:rFonts w:eastAsia="DFKai-SB"/>
          <w:b/>
          <w:bCs/>
        </w:rPr>
        <w:t>任</w:t>
      </w:r>
    </w:p>
    <w:p>
      <w:pPr>
        <w:rPr>
          <w:rFonts w:eastAsia="DFKai-SB"/>
          <w:b/>
          <w:lang w:val="zh-CN"/>
        </w:rPr>
      </w:pPr>
    </w:p>
    <w:p>
      <w:pPr>
        <w:rPr>
          <w:rFonts w:eastAsia="DFKai-SB"/>
          <w:bCs/>
        </w:rPr>
      </w:pPr>
      <w:r>
        <w:rPr>
          <w:rFonts w:eastAsia="DFKai-SB"/>
          <w:bCs/>
        </w:rPr>
        <w:t>協議的一方因違反協議而</w:t>
      </w:r>
      <w:r>
        <w:rPr>
          <w:rFonts w:eastAsia="DFKai-SB"/>
          <w:bCs/>
          <w:lang w:eastAsia="zh-HK"/>
        </w:rPr>
        <w:t>對另一方</w:t>
      </w:r>
      <w:r>
        <w:rPr>
          <w:rFonts w:eastAsia="DFKai-SB"/>
          <w:bCs/>
        </w:rPr>
        <w:t>造成損害賠償，</w:t>
      </w:r>
      <w:r>
        <w:rPr>
          <w:rFonts w:eastAsia="DFKai-SB"/>
          <w:bCs/>
          <w:lang w:eastAsia="zh-HK"/>
        </w:rPr>
        <w:t>所負的</w:t>
      </w:r>
      <w:r>
        <w:rPr>
          <w:rFonts w:eastAsia="DFKai-SB"/>
          <w:bCs/>
        </w:rPr>
        <w:t>責任如下：</w:t>
      </w:r>
    </w:p>
    <w:p>
      <w:pPr>
        <w:rPr>
          <w:rFonts w:eastAsia="DFKai-SB"/>
          <w:bCs/>
        </w:rPr>
      </w:pPr>
    </w:p>
    <w:p>
      <w:pPr>
        <w:pStyle w:val="5"/>
        <w:numPr>
          <w:ilvl w:val="0"/>
          <w:numId w:val="2"/>
        </w:numPr>
        <w:snapToGrid w:val="0"/>
        <w:jc w:val="both"/>
        <w:rPr>
          <w:rFonts w:ascii="Times New Roman" w:hAnsi="Times New Roman" w:eastAsia="DFKai-SB"/>
          <w:bCs/>
          <w:szCs w:val="24"/>
        </w:rPr>
      </w:pPr>
      <w:r>
        <w:rPr>
          <w:rFonts w:ascii="Times New Roman" w:hAnsi="Times New Roman" w:eastAsia="DFKai-SB"/>
          <w:bCs/>
          <w:szCs w:val="24"/>
        </w:rPr>
        <w:t>倘本公司未有按協議</w:t>
      </w:r>
      <w:r>
        <w:rPr>
          <w:rFonts w:ascii="Times New Roman" w:hAnsi="Times New Roman" w:eastAsia="DFKai-SB"/>
          <w:bCs/>
          <w:szCs w:val="24"/>
          <w:lang w:eastAsia="zh-HK"/>
        </w:rPr>
        <w:t>支</w:t>
      </w:r>
      <w:r>
        <w:rPr>
          <w:rFonts w:ascii="Times New Roman" w:hAnsi="Times New Roman" w:eastAsia="DFKai-SB"/>
          <w:bCs/>
          <w:szCs w:val="24"/>
        </w:rPr>
        <w:t>付</w:t>
      </w:r>
      <w:r>
        <w:rPr>
          <w:rFonts w:ascii="Times New Roman" w:hAnsi="Times New Roman" w:eastAsia="DFKai-SB"/>
          <w:szCs w:val="24"/>
        </w:rPr>
        <w:t>轉讓代價</w:t>
      </w:r>
      <w:r>
        <w:rPr>
          <w:rFonts w:ascii="Times New Roman" w:hAnsi="Times New Roman" w:eastAsia="DFKai-SB"/>
          <w:bCs/>
          <w:szCs w:val="24"/>
        </w:rPr>
        <w:t>，每逾期付款一天，其須向</w:t>
      </w:r>
      <w:r>
        <w:rPr>
          <w:rFonts w:ascii="Times New Roman" w:hAnsi="Times New Roman" w:eastAsia="DFKai-SB"/>
          <w:szCs w:val="24"/>
        </w:rPr>
        <w:t>華魯控股集團</w:t>
      </w:r>
      <w:r>
        <w:rPr>
          <w:rFonts w:ascii="Times New Roman" w:hAnsi="Times New Roman" w:eastAsia="DFKai-SB"/>
          <w:bCs/>
          <w:szCs w:val="24"/>
        </w:rPr>
        <w:t>支付1‰ 的</w:t>
      </w:r>
      <w:r>
        <w:rPr>
          <w:rFonts w:ascii="Times New Roman" w:hAnsi="Times New Roman" w:eastAsia="DFKai-SB"/>
          <w:szCs w:val="24"/>
        </w:rPr>
        <w:t>轉讓代價</w:t>
      </w:r>
      <w:r>
        <w:rPr>
          <w:rFonts w:ascii="Times New Roman" w:hAnsi="Times New Roman" w:eastAsia="DFKai-SB"/>
          <w:bCs/>
          <w:szCs w:val="24"/>
        </w:rPr>
        <w:t>額作為</w:t>
      </w:r>
      <w:r>
        <w:rPr>
          <w:rFonts w:ascii="Times New Roman" w:hAnsi="Times New Roman" w:eastAsia="DFKai-SB"/>
          <w:bCs/>
          <w:szCs w:val="24"/>
          <w:lang w:eastAsia="zh-HK"/>
        </w:rPr>
        <w:t>違約金</w:t>
      </w:r>
      <w:r>
        <w:rPr>
          <w:rFonts w:ascii="Times New Roman" w:hAnsi="Times New Roman" w:eastAsia="DFKai-SB"/>
          <w:bCs/>
          <w:szCs w:val="24"/>
        </w:rPr>
        <w:t>。</w:t>
      </w:r>
    </w:p>
    <w:p>
      <w:pPr>
        <w:pStyle w:val="5"/>
        <w:numPr>
          <w:ilvl w:val="0"/>
          <w:numId w:val="2"/>
        </w:numPr>
        <w:snapToGrid w:val="0"/>
        <w:jc w:val="both"/>
        <w:rPr>
          <w:rFonts w:ascii="Times New Roman" w:hAnsi="Times New Roman" w:eastAsia="DFKai-SB"/>
          <w:bCs/>
          <w:szCs w:val="24"/>
        </w:rPr>
      </w:pPr>
      <w:r>
        <w:rPr>
          <w:rFonts w:ascii="Times New Roman" w:hAnsi="Times New Roman" w:eastAsia="DFKai-SB"/>
          <w:bCs/>
          <w:szCs w:val="24"/>
        </w:rPr>
        <w:t>倘本公司在華魯控股集團作出提醒後仍未有履行以上付款義務，華魯控股集團有權單方面終止協議並要求本公司支付1% 的</w:t>
      </w:r>
      <w:r>
        <w:rPr>
          <w:rFonts w:ascii="Times New Roman" w:hAnsi="Times New Roman" w:eastAsia="DFKai-SB"/>
          <w:szCs w:val="24"/>
        </w:rPr>
        <w:t>轉讓代價</w:t>
      </w:r>
      <w:r>
        <w:rPr>
          <w:rFonts w:ascii="Times New Roman" w:hAnsi="Times New Roman" w:eastAsia="DFKai-SB"/>
          <w:bCs/>
          <w:szCs w:val="24"/>
        </w:rPr>
        <w:t>額作為</w:t>
      </w:r>
      <w:r>
        <w:rPr>
          <w:rFonts w:ascii="Times New Roman" w:hAnsi="Times New Roman" w:eastAsia="DFKai-SB"/>
          <w:bCs/>
          <w:szCs w:val="24"/>
          <w:lang w:eastAsia="zh-HK"/>
        </w:rPr>
        <w:t>違約金</w:t>
      </w:r>
      <w:r>
        <w:rPr>
          <w:rFonts w:ascii="Times New Roman" w:hAnsi="Times New Roman" w:eastAsia="DFKai-SB"/>
          <w:bCs/>
          <w:szCs w:val="24"/>
        </w:rPr>
        <w:t>。</w:t>
      </w:r>
    </w:p>
    <w:p>
      <w:pPr>
        <w:pStyle w:val="5"/>
        <w:numPr>
          <w:ilvl w:val="0"/>
          <w:numId w:val="2"/>
        </w:numPr>
        <w:snapToGrid w:val="0"/>
        <w:jc w:val="both"/>
        <w:rPr>
          <w:rFonts w:ascii="Times New Roman" w:hAnsi="Times New Roman" w:eastAsia="DFKai-SB"/>
          <w:bCs/>
          <w:szCs w:val="24"/>
        </w:rPr>
      </w:pPr>
      <w:r>
        <w:rPr>
          <w:rFonts w:ascii="Times New Roman" w:hAnsi="Times New Roman" w:eastAsia="DFKai-SB"/>
          <w:bCs/>
          <w:szCs w:val="24"/>
        </w:rPr>
        <w:t>倘華魯控股集團未有及時轉讓萬博權益，每逾期一天，其須向本公司支付</w:t>
      </w:r>
      <w:r>
        <w:rPr>
          <w:rFonts w:ascii="Times New Roman" w:hAnsi="Times New Roman" w:eastAsia="DFKai-SB"/>
          <w:bCs/>
          <w:szCs w:val="24"/>
          <w:lang w:val="zh-CN"/>
        </w:rPr>
        <w:t>1‰</w:t>
      </w:r>
      <w:r>
        <w:rPr>
          <w:rFonts w:ascii="Times New Roman" w:hAnsi="Times New Roman" w:eastAsia="DFKai-SB"/>
          <w:bCs/>
          <w:color w:val="FF0000"/>
          <w:szCs w:val="24"/>
        </w:rPr>
        <w:t xml:space="preserve"> </w:t>
      </w:r>
      <w:r>
        <w:rPr>
          <w:rFonts w:ascii="Times New Roman" w:hAnsi="Times New Roman" w:eastAsia="DFKai-SB"/>
          <w:bCs/>
          <w:szCs w:val="24"/>
        </w:rPr>
        <w:t>的</w:t>
      </w:r>
      <w:r>
        <w:rPr>
          <w:rFonts w:ascii="Times New Roman" w:hAnsi="Times New Roman" w:eastAsia="DFKai-SB"/>
          <w:szCs w:val="24"/>
        </w:rPr>
        <w:t>轉讓代價</w:t>
      </w:r>
      <w:r>
        <w:rPr>
          <w:rFonts w:ascii="Times New Roman" w:hAnsi="Times New Roman" w:eastAsia="DFKai-SB"/>
          <w:bCs/>
          <w:szCs w:val="24"/>
        </w:rPr>
        <w:t>額作為</w:t>
      </w:r>
      <w:r>
        <w:rPr>
          <w:rFonts w:ascii="Times New Roman" w:hAnsi="Times New Roman" w:eastAsia="DFKai-SB"/>
          <w:bCs/>
          <w:szCs w:val="24"/>
          <w:lang w:eastAsia="zh-HK"/>
        </w:rPr>
        <w:t>違約金</w:t>
      </w:r>
      <w:r>
        <w:rPr>
          <w:rFonts w:ascii="Times New Roman" w:hAnsi="Times New Roman" w:eastAsia="DFKai-SB"/>
          <w:bCs/>
          <w:szCs w:val="24"/>
        </w:rPr>
        <w:t>。</w:t>
      </w:r>
    </w:p>
    <w:p>
      <w:pPr>
        <w:pStyle w:val="5"/>
        <w:numPr>
          <w:ilvl w:val="0"/>
          <w:numId w:val="2"/>
        </w:numPr>
        <w:snapToGrid w:val="0"/>
        <w:jc w:val="both"/>
        <w:rPr>
          <w:rFonts w:ascii="Times New Roman" w:hAnsi="Times New Roman" w:eastAsia="DFKai-SB"/>
          <w:bCs/>
          <w:szCs w:val="24"/>
        </w:rPr>
      </w:pPr>
      <w:r>
        <w:rPr>
          <w:rFonts w:ascii="Times New Roman" w:hAnsi="Times New Roman" w:eastAsia="DFKai-SB"/>
          <w:bCs/>
          <w:szCs w:val="24"/>
        </w:rPr>
        <w:t>倘華魯控股集團在本公司作出提醒後仍未有及時轉讓萬博權益，本公司有權單方面終止協議並要求華魯控股集團支付1% 的</w:t>
      </w:r>
      <w:r>
        <w:rPr>
          <w:rFonts w:ascii="Times New Roman" w:hAnsi="Times New Roman" w:eastAsia="DFKai-SB"/>
          <w:szCs w:val="24"/>
        </w:rPr>
        <w:t>轉讓代價</w:t>
      </w:r>
      <w:r>
        <w:rPr>
          <w:rFonts w:ascii="Times New Roman" w:hAnsi="Times New Roman" w:eastAsia="DFKai-SB"/>
          <w:bCs/>
          <w:szCs w:val="24"/>
        </w:rPr>
        <w:t>額作為</w:t>
      </w:r>
      <w:r>
        <w:rPr>
          <w:rFonts w:ascii="Times New Roman" w:hAnsi="Times New Roman" w:eastAsia="DFKai-SB"/>
          <w:bCs/>
          <w:szCs w:val="24"/>
          <w:lang w:eastAsia="zh-HK"/>
        </w:rPr>
        <w:t>違約金</w:t>
      </w:r>
      <w:r>
        <w:rPr>
          <w:rFonts w:ascii="Times New Roman" w:hAnsi="Times New Roman" w:eastAsia="DFKai-SB"/>
          <w:bCs/>
          <w:szCs w:val="24"/>
        </w:rPr>
        <w:t>。</w:t>
      </w:r>
    </w:p>
    <w:p>
      <w:pPr>
        <w:pStyle w:val="5"/>
        <w:numPr>
          <w:ilvl w:val="0"/>
          <w:numId w:val="2"/>
        </w:numPr>
        <w:snapToGrid w:val="0"/>
        <w:jc w:val="both"/>
        <w:rPr>
          <w:rFonts w:ascii="Times New Roman" w:hAnsi="Times New Roman" w:eastAsia="DFKai-SB"/>
          <w:bCs/>
          <w:szCs w:val="24"/>
        </w:rPr>
      </w:pPr>
      <w:r>
        <w:rPr>
          <w:rFonts w:ascii="Times New Roman" w:hAnsi="Times New Roman" w:eastAsia="DFKai-SB"/>
          <w:bCs/>
          <w:szCs w:val="24"/>
        </w:rPr>
        <w:t>倘萬博化工的資產、債</w:t>
      </w:r>
      <w:r>
        <w:rPr>
          <w:rFonts w:ascii="Times New Roman" w:hAnsi="Times New Roman" w:eastAsia="DFKai-SB"/>
          <w:bCs/>
          <w:szCs w:val="24"/>
          <w:lang w:eastAsia="zh-HK"/>
        </w:rPr>
        <w:t>務</w:t>
      </w:r>
      <w:r>
        <w:rPr>
          <w:rFonts w:ascii="Times New Roman" w:hAnsi="Times New Roman" w:eastAsia="DFKai-SB"/>
          <w:bCs/>
          <w:szCs w:val="24"/>
        </w:rPr>
        <w:t>或任何其他重大項目未被披露或</w:t>
      </w:r>
      <w:r>
        <w:rPr>
          <w:rFonts w:ascii="Times New Roman" w:hAnsi="Times New Roman" w:eastAsia="DFKai-SB"/>
          <w:bCs/>
          <w:szCs w:val="24"/>
          <w:lang w:eastAsia="zh-HK"/>
        </w:rPr>
        <w:t>存在</w:t>
      </w:r>
      <w:r>
        <w:rPr>
          <w:rFonts w:ascii="Times New Roman" w:hAnsi="Times New Roman" w:eastAsia="DFKai-SB"/>
          <w:bCs/>
          <w:szCs w:val="24"/>
        </w:rPr>
        <w:t>遺</w:t>
      </w:r>
      <w:r>
        <w:rPr>
          <w:rFonts w:ascii="Times New Roman" w:hAnsi="Times New Roman" w:eastAsia="DFKai-SB"/>
          <w:bCs/>
          <w:szCs w:val="24"/>
          <w:lang w:eastAsia="zh-HK"/>
        </w:rPr>
        <w:t>漏</w:t>
      </w:r>
      <w:r>
        <w:rPr>
          <w:rFonts w:ascii="Times New Roman" w:hAnsi="Times New Roman" w:eastAsia="DFKai-SB"/>
          <w:bCs/>
          <w:szCs w:val="24"/>
        </w:rPr>
        <w:t>，</w:t>
      </w:r>
      <w:r>
        <w:rPr>
          <w:rFonts w:ascii="Times New Roman" w:hAnsi="Times New Roman" w:eastAsia="DFKai-SB"/>
          <w:bCs/>
          <w:szCs w:val="24"/>
          <w:lang w:eastAsia="zh-HK"/>
        </w:rPr>
        <w:t>對</w:t>
      </w:r>
      <w:r>
        <w:rPr>
          <w:rFonts w:ascii="Times New Roman" w:hAnsi="Times New Roman" w:eastAsia="DFKai-SB"/>
          <w:bCs/>
          <w:szCs w:val="24"/>
        </w:rPr>
        <w:t>萬博化工</w:t>
      </w:r>
      <w:r>
        <w:rPr>
          <w:rFonts w:ascii="Times New Roman" w:hAnsi="Times New Roman" w:eastAsia="DFKai-SB"/>
          <w:bCs/>
          <w:szCs w:val="24"/>
          <w:lang w:eastAsia="zh-HK"/>
        </w:rPr>
        <w:t>造成重大不利</w:t>
      </w:r>
      <w:r>
        <w:rPr>
          <w:rFonts w:ascii="Times New Roman" w:hAnsi="Times New Roman" w:eastAsia="DFKai-SB"/>
          <w:bCs/>
          <w:szCs w:val="24"/>
        </w:rPr>
        <w:t>或影響大於</w:t>
      </w:r>
      <w:r>
        <w:rPr>
          <w:rFonts w:ascii="Times New Roman" w:hAnsi="Times New Roman" w:eastAsia="DFKai-SB"/>
          <w:szCs w:val="24"/>
        </w:rPr>
        <w:t>轉讓代價</w:t>
      </w:r>
      <w:r>
        <w:rPr>
          <w:rFonts w:ascii="Times New Roman" w:hAnsi="Times New Roman" w:eastAsia="DFKai-SB"/>
          <w:bCs/>
          <w:szCs w:val="24"/>
        </w:rPr>
        <w:t>額的30%，本公司有權終止協議並要求華魯控股集團支付1% 的</w:t>
      </w:r>
      <w:r>
        <w:rPr>
          <w:rFonts w:ascii="Times New Roman" w:hAnsi="Times New Roman" w:eastAsia="DFKai-SB"/>
          <w:szCs w:val="24"/>
        </w:rPr>
        <w:t>轉讓代價</w:t>
      </w:r>
      <w:r>
        <w:rPr>
          <w:rFonts w:ascii="Times New Roman" w:hAnsi="Times New Roman" w:eastAsia="DFKai-SB"/>
          <w:bCs/>
          <w:szCs w:val="24"/>
        </w:rPr>
        <w:t>額作為</w:t>
      </w:r>
      <w:r>
        <w:rPr>
          <w:rFonts w:ascii="Times New Roman" w:hAnsi="Times New Roman" w:eastAsia="DFKai-SB"/>
          <w:bCs/>
          <w:szCs w:val="24"/>
          <w:lang w:eastAsia="zh-HK"/>
        </w:rPr>
        <w:t>違約金</w:t>
      </w:r>
      <w:r>
        <w:rPr>
          <w:rFonts w:ascii="Times New Roman" w:hAnsi="Times New Roman" w:eastAsia="DFKai-SB"/>
          <w:bCs/>
          <w:szCs w:val="24"/>
        </w:rPr>
        <w:t>。</w:t>
      </w:r>
      <w:r>
        <w:rPr>
          <w:rFonts w:ascii="Times New Roman" w:hAnsi="Times New Roman" w:eastAsia="DFKai-SB"/>
          <w:bCs/>
          <w:szCs w:val="24"/>
          <w:lang w:eastAsia="zh-HK"/>
        </w:rPr>
        <w:t>如本公司不選</w:t>
      </w:r>
      <w:r>
        <w:rPr>
          <w:rFonts w:ascii="Times New Roman" w:hAnsi="Times New Roman" w:eastAsia="DFKai-SB"/>
          <w:bCs/>
          <w:szCs w:val="24"/>
        </w:rPr>
        <w:t>擇</w:t>
      </w:r>
      <w:r>
        <w:rPr>
          <w:rFonts w:ascii="Times New Roman" w:hAnsi="Times New Roman" w:eastAsia="DFKai-SB"/>
          <w:bCs/>
          <w:szCs w:val="24"/>
          <w:lang w:eastAsia="zh-HK"/>
        </w:rPr>
        <w:t>終</w:t>
      </w:r>
      <w:r>
        <w:rPr>
          <w:rFonts w:ascii="Times New Roman" w:hAnsi="Times New Roman" w:eastAsia="DFKai-SB"/>
          <w:bCs/>
          <w:szCs w:val="24"/>
        </w:rPr>
        <w:t>止</w:t>
      </w:r>
      <w:r>
        <w:rPr>
          <w:rFonts w:ascii="Times New Roman" w:hAnsi="Times New Roman" w:eastAsia="DFKai-SB"/>
          <w:bCs/>
          <w:szCs w:val="24"/>
          <w:lang w:eastAsia="zh-HK"/>
        </w:rPr>
        <w:t>協議</w:t>
      </w:r>
      <w:r>
        <w:rPr>
          <w:rFonts w:ascii="Times New Roman" w:hAnsi="Times New Roman" w:eastAsia="DFKai-SB"/>
          <w:bCs/>
          <w:szCs w:val="24"/>
        </w:rPr>
        <w:t>，</w:t>
      </w:r>
      <w:r>
        <w:rPr>
          <w:rFonts w:ascii="Times New Roman" w:hAnsi="Times New Roman" w:eastAsia="DFKai-SB"/>
          <w:bCs/>
          <w:szCs w:val="24"/>
          <w:lang w:eastAsia="zh-HK"/>
        </w:rPr>
        <w:t>則有權要求華魯控股集團就有關事項進行賠償</w:t>
      </w:r>
      <w:r>
        <w:rPr>
          <w:rFonts w:ascii="Times New Roman" w:hAnsi="Times New Roman" w:eastAsia="DFKai-SB"/>
          <w:bCs/>
          <w:szCs w:val="24"/>
        </w:rPr>
        <w:t>。</w:t>
      </w:r>
    </w:p>
    <w:p>
      <w:pPr>
        <w:pStyle w:val="5"/>
        <w:snapToGrid w:val="0"/>
        <w:ind w:left="-11"/>
        <w:jc w:val="both"/>
        <w:rPr>
          <w:rFonts w:ascii="Times New Roman" w:hAnsi="Times New Roman" w:eastAsia="DFKai-SB"/>
          <w:bCs/>
          <w:szCs w:val="24"/>
          <w:lang w:eastAsia="zh-HK"/>
        </w:rPr>
      </w:pPr>
    </w:p>
    <w:p>
      <w:pPr>
        <w:pStyle w:val="5"/>
        <w:snapToGrid w:val="0"/>
        <w:ind w:left="-11"/>
        <w:jc w:val="both"/>
        <w:rPr>
          <w:rFonts w:ascii="Times New Roman" w:hAnsi="Times New Roman" w:eastAsia="DFKai-SB"/>
          <w:bCs/>
          <w:szCs w:val="24"/>
        </w:rPr>
      </w:pPr>
      <w:r>
        <w:rPr>
          <w:rFonts w:ascii="Times New Roman" w:hAnsi="Times New Roman" w:eastAsia="DFKai-SB"/>
          <w:bCs/>
          <w:szCs w:val="24"/>
          <w:lang w:eastAsia="zh-HK"/>
        </w:rPr>
        <w:t>根</w:t>
      </w:r>
      <w:r>
        <w:rPr>
          <w:rFonts w:ascii="Times New Roman" w:hAnsi="Times New Roman" w:eastAsia="DFKai-SB"/>
          <w:bCs/>
          <w:szCs w:val="24"/>
        </w:rPr>
        <w:t>據</w:t>
      </w:r>
      <w:r>
        <w:rPr>
          <w:rFonts w:ascii="Times New Roman" w:hAnsi="Times New Roman" w:eastAsia="DFKai-SB"/>
          <w:bCs/>
          <w:szCs w:val="24"/>
          <w:lang w:eastAsia="zh-HK"/>
        </w:rPr>
        <w:t>協議</w:t>
      </w:r>
      <w:r>
        <w:rPr>
          <w:rFonts w:ascii="Times New Roman" w:hAnsi="Times New Roman" w:eastAsia="DFKai-SB"/>
          <w:bCs/>
          <w:szCs w:val="24"/>
        </w:rPr>
        <w:t>，</w:t>
      </w:r>
      <w:r>
        <w:rPr>
          <w:rFonts w:ascii="Times New Roman" w:hAnsi="Times New Roman" w:eastAsia="DFKai-SB"/>
          <w:bCs/>
          <w:szCs w:val="24"/>
          <w:lang w:eastAsia="zh-HK"/>
        </w:rPr>
        <w:t>經</w:t>
      </w:r>
      <w:r>
        <w:rPr>
          <w:rFonts w:ascii="Times New Roman" w:hAnsi="Times New Roman" w:eastAsia="DFKai-SB"/>
          <w:bCs/>
          <w:szCs w:val="24"/>
        </w:rPr>
        <w:t>本公司</w:t>
      </w:r>
      <w:r>
        <w:rPr>
          <w:rFonts w:ascii="Times New Roman" w:hAnsi="Times New Roman" w:eastAsia="DFKai-SB"/>
          <w:bCs/>
          <w:szCs w:val="24"/>
          <w:lang w:eastAsia="zh-HK"/>
        </w:rPr>
        <w:t>及華魯控股集團雙方協商</w:t>
      </w:r>
      <w:r>
        <w:rPr>
          <w:rFonts w:ascii="Times New Roman" w:hAnsi="Times New Roman" w:eastAsia="DFKai-SB"/>
          <w:bCs/>
          <w:szCs w:val="24"/>
        </w:rPr>
        <w:t>，</w:t>
      </w:r>
      <w:r>
        <w:rPr>
          <w:rFonts w:ascii="Times New Roman" w:hAnsi="Times New Roman" w:eastAsia="DFKai-SB"/>
          <w:bCs/>
          <w:szCs w:val="24"/>
          <w:lang w:eastAsia="zh-HK"/>
        </w:rPr>
        <w:t>也可約定其他賠償方式</w:t>
      </w:r>
      <w:r>
        <w:rPr>
          <w:rFonts w:ascii="Times New Roman" w:hAnsi="Times New Roman" w:eastAsia="DFKai-SB"/>
          <w:bCs/>
          <w:szCs w:val="24"/>
        </w:rPr>
        <w:t>。</w:t>
      </w:r>
    </w:p>
    <w:p>
      <w:pPr>
        <w:rPr>
          <w:rFonts w:eastAsia="DFKai-SB"/>
          <w:bCs/>
        </w:rPr>
      </w:pPr>
    </w:p>
    <w:p>
      <w:pPr>
        <w:pStyle w:val="5"/>
        <w:snapToGrid w:val="0"/>
        <w:jc w:val="both"/>
        <w:rPr>
          <w:rFonts w:ascii="Times New Roman" w:hAnsi="Times New Roman" w:eastAsia="DFKai-SB"/>
          <w:b/>
          <w:szCs w:val="24"/>
        </w:rPr>
      </w:pPr>
      <w:r>
        <w:rPr>
          <w:rFonts w:ascii="Times New Roman" w:hAnsi="Times New Roman" w:eastAsia="DFKai-SB"/>
          <w:b/>
          <w:bCs/>
          <w:color w:val="231F20"/>
          <w:spacing w:val="4"/>
          <w:szCs w:val="24"/>
          <w:lang w:eastAsia="zh-HK"/>
        </w:rPr>
        <w:t>收購萬博權益</w:t>
      </w:r>
      <w:r>
        <w:rPr>
          <w:rFonts w:ascii="Times New Roman" w:hAnsi="Times New Roman" w:eastAsia="DFKai-SB"/>
          <w:b/>
          <w:szCs w:val="24"/>
        </w:rPr>
        <w:t>之原因及</w:t>
      </w:r>
      <w:r>
        <w:rPr>
          <w:rFonts w:ascii="Times New Roman" w:hAnsi="Times New Roman" w:eastAsia="DFKai-SB"/>
          <w:b/>
          <w:szCs w:val="24"/>
          <w:lang w:eastAsia="zh-HK"/>
        </w:rPr>
        <w:t>好</w:t>
      </w:r>
      <w:r>
        <w:rPr>
          <w:rFonts w:ascii="Times New Roman" w:hAnsi="Times New Roman" w:eastAsia="DFKai-SB"/>
          <w:b/>
          <w:szCs w:val="24"/>
        </w:rPr>
        <w:t>處</w:t>
      </w:r>
    </w:p>
    <w:p>
      <w:pPr>
        <w:jc w:val="both"/>
        <w:rPr>
          <w:rFonts w:eastAsia="DFKai-SB"/>
          <w:bCs/>
          <w:lang w:val="zh-CN"/>
        </w:rPr>
      </w:pPr>
    </w:p>
    <w:p>
      <w:pPr>
        <w:jc w:val="both"/>
        <w:rPr>
          <w:rFonts w:eastAsia="DFKai-SB"/>
          <w:bCs/>
          <w:lang w:val="zh-CN"/>
        </w:rPr>
      </w:pPr>
      <w:r>
        <w:rPr>
          <w:rFonts w:hint="eastAsia" w:eastAsia="DFKai-SB"/>
          <w:bCs/>
          <w:lang w:val="zh-CN" w:eastAsia="zh-HK"/>
        </w:rPr>
        <w:t>收購萬博權益</w:t>
      </w:r>
      <w:r>
        <w:rPr>
          <w:rFonts w:hint="eastAsia" w:eastAsia="DFKai-SB"/>
          <w:bCs/>
          <w:lang w:val="zh-CN"/>
        </w:rPr>
        <w:t>預期</w:t>
      </w:r>
      <w:r>
        <w:rPr>
          <w:rFonts w:hint="eastAsia" w:eastAsia="DFKai-SB"/>
          <w:bCs/>
          <w:lang w:val="zh-CN" w:eastAsia="zh-HK"/>
        </w:rPr>
        <w:t>有利於本公司</w:t>
      </w:r>
      <w:r>
        <w:rPr>
          <w:rFonts w:hint="eastAsia" w:eastAsia="DFKai-SB"/>
          <w:bCs/>
          <w:lang w:val="zh-CN"/>
        </w:rPr>
        <w:t>推進資源整合，並提高</w:t>
      </w:r>
      <w:r>
        <w:rPr>
          <w:rFonts w:hint="eastAsia" w:eastAsia="DFKai-SB"/>
          <w:bCs/>
          <w:lang w:val="zh-CN" w:eastAsia="zh-HK"/>
        </w:rPr>
        <w:t>本</w:t>
      </w:r>
      <w:r>
        <w:rPr>
          <w:rFonts w:hint="eastAsia" w:eastAsia="DFKai-SB"/>
          <w:bCs/>
          <w:lang w:val="zh-CN"/>
        </w:rPr>
        <w:t>公司整體競爭力及可持續發展能力。</w:t>
      </w:r>
    </w:p>
    <w:p>
      <w:pPr>
        <w:jc w:val="both"/>
        <w:rPr>
          <w:rFonts w:eastAsia="DFKai-SB"/>
          <w:bCs/>
          <w:lang w:val="zh-CN"/>
        </w:rPr>
      </w:pPr>
    </w:p>
    <w:p>
      <w:pPr>
        <w:jc w:val="both"/>
        <w:rPr>
          <w:rFonts w:eastAsia="DFKai-SB"/>
          <w:bCs/>
          <w:lang w:val="zh-CN"/>
        </w:rPr>
      </w:pPr>
      <w:r>
        <w:rPr>
          <w:rFonts w:hint="eastAsia" w:eastAsia="DFKai-SB"/>
          <w:bCs/>
          <w:lang w:val="zh-CN"/>
        </w:rPr>
        <w:t>董事會及獨立非執行董事已審議及審閱協議的條款及規定，認為屬公平合理，其項下交易按一般商業條款和在一般及日常業務過程中訂立，且符合本公司及股東的整體利益。</w:t>
      </w:r>
    </w:p>
    <w:p>
      <w:pPr>
        <w:jc w:val="both"/>
        <w:rPr>
          <w:rFonts w:eastAsia="DFKai-SB"/>
          <w:bCs/>
          <w:lang w:val="zh-CN"/>
        </w:rPr>
      </w:pPr>
    </w:p>
    <w:p>
      <w:pPr>
        <w:jc w:val="both"/>
        <w:rPr>
          <w:rFonts w:eastAsia="DFKai-SB"/>
          <w:bCs/>
          <w:lang w:val="zh-CN"/>
        </w:rPr>
      </w:pPr>
      <w:r>
        <w:rPr>
          <w:rFonts w:hint="eastAsia" w:eastAsia="DFKai-SB"/>
          <w:bCs/>
          <w:lang w:val="zh-CN"/>
        </w:rPr>
        <w:t>本公司董事張代銘先生、任福龍先生、徐列先生因彼等各自於</w:t>
      </w:r>
      <w:r>
        <w:rPr>
          <w:rFonts w:hint="eastAsia" w:eastAsia="DFKai-SB"/>
        </w:rPr>
        <w:t>華魯控股集團附屬公司</w:t>
      </w:r>
      <w:r>
        <w:rPr>
          <w:rFonts w:hint="eastAsia" w:eastAsia="DFKai-SB"/>
          <w:bCs/>
          <w:lang w:val="zh-CN"/>
        </w:rPr>
        <w:t>之董事職務或管理層成員之職位，已就有關協議及其項下擬進行的交易放棄投票。除上文所披露者外，本公司並無知悉任何其他董事於相關事項</w:t>
      </w:r>
      <w:r>
        <w:rPr>
          <w:rFonts w:eastAsia="DFKai-SB"/>
          <w:bCs/>
          <w:lang w:val="zh-CN"/>
        </w:rPr>
        <w:t>中持有重大權益。</w:t>
      </w:r>
    </w:p>
    <w:p>
      <w:pPr>
        <w:rPr>
          <w:rFonts w:eastAsia="DFKai-SB"/>
          <w:bCs/>
          <w:lang w:val="zh-CN"/>
        </w:rPr>
      </w:pPr>
    </w:p>
    <w:p>
      <w:pPr>
        <w:rPr>
          <w:rFonts w:eastAsia="DFKai-SB"/>
          <w:b/>
          <w:lang w:val="zh-CN"/>
        </w:rPr>
      </w:pPr>
      <w:r>
        <w:rPr>
          <w:rFonts w:eastAsia="DFKai-SB"/>
          <w:b/>
          <w:lang w:val="zh-CN"/>
        </w:rPr>
        <w:t>目標公司及協議各方資料</w:t>
      </w:r>
    </w:p>
    <w:p>
      <w:pPr>
        <w:jc w:val="both"/>
        <w:rPr>
          <w:rFonts w:eastAsia="DFKai-SB"/>
          <w:b/>
          <w:lang w:val="zh-CN"/>
        </w:rPr>
      </w:pPr>
    </w:p>
    <w:p>
      <w:pPr>
        <w:jc w:val="both"/>
        <w:rPr>
          <w:rFonts w:eastAsia="DFKai-SB"/>
          <w:bCs/>
          <w:lang w:val="zh-CN"/>
        </w:rPr>
      </w:pPr>
      <w:r>
        <w:rPr>
          <w:rFonts w:eastAsia="DFKai-SB"/>
          <w:bCs/>
          <w:lang w:val="zh-CN"/>
        </w:rPr>
        <w:t>本公司為一家於中國註冊成立之股份有限公司，其 H 股及 A 股分別於聯交所及深圳證券交易所上市。本公司主要從事開發、製造及銷售化學原料藥、製劑以及化工產品。</w:t>
      </w:r>
    </w:p>
    <w:p>
      <w:pPr>
        <w:jc w:val="both"/>
        <w:rPr>
          <w:rFonts w:eastAsia="DFKai-SB"/>
          <w:bCs/>
          <w:lang w:val="zh-CN"/>
        </w:rPr>
      </w:pPr>
    </w:p>
    <w:p>
      <w:pPr>
        <w:pStyle w:val="5"/>
        <w:snapToGrid w:val="0"/>
        <w:jc w:val="both"/>
        <w:rPr>
          <w:rFonts w:ascii="Times New Roman" w:hAnsi="Times New Roman" w:eastAsia="DFKai-SB"/>
          <w:bCs/>
          <w:szCs w:val="24"/>
          <w:lang w:val="zh-CN"/>
        </w:rPr>
      </w:pPr>
      <w:r>
        <w:rPr>
          <w:rFonts w:ascii="Times New Roman" w:hAnsi="Times New Roman" w:eastAsia="DFKai-SB"/>
          <w:szCs w:val="24"/>
        </w:rPr>
        <w:t>華魯控股集團</w:t>
      </w:r>
      <w:r>
        <w:rPr>
          <w:rFonts w:ascii="Times New Roman" w:hAnsi="Times New Roman" w:eastAsia="DFKai-SB"/>
          <w:bCs/>
          <w:szCs w:val="24"/>
          <w:lang w:val="zh-CN"/>
        </w:rPr>
        <w:t>為一家國有企業，主要從事投資控股多家中國內地及香港交易所上市或未上市的公司，其萬博權益由山東新華醫藥集團（</w:t>
      </w:r>
      <w:r>
        <w:rPr>
          <w:rFonts w:ascii="Times New Roman" w:hAnsi="Times New Roman" w:eastAsia="DFKai-SB"/>
          <w:szCs w:val="24"/>
        </w:rPr>
        <w:t>華魯控股集團的全資附屬公司</w:t>
      </w:r>
      <w:r>
        <w:rPr>
          <w:rFonts w:ascii="Times New Roman" w:hAnsi="Times New Roman" w:eastAsia="DFKai-SB"/>
          <w:bCs/>
          <w:szCs w:val="24"/>
          <w:lang w:val="zh-CN"/>
        </w:rPr>
        <w:t>）轉讓所得。</w:t>
      </w:r>
    </w:p>
    <w:p>
      <w:pPr>
        <w:pStyle w:val="5"/>
        <w:snapToGrid w:val="0"/>
        <w:jc w:val="both"/>
        <w:rPr>
          <w:rFonts w:ascii="Times New Roman" w:hAnsi="Times New Roman" w:eastAsia="DFKai-SB"/>
          <w:bCs/>
          <w:szCs w:val="24"/>
          <w:lang w:val="zh-CN"/>
        </w:rPr>
      </w:pPr>
    </w:p>
    <w:p>
      <w:pPr>
        <w:pStyle w:val="5"/>
        <w:snapToGrid w:val="0"/>
        <w:jc w:val="both"/>
        <w:rPr>
          <w:rFonts w:ascii="Times New Roman" w:hAnsi="Times New Roman" w:eastAsia="DFKai-SB"/>
          <w:bCs/>
          <w:szCs w:val="24"/>
        </w:rPr>
      </w:pPr>
      <w:r>
        <w:rPr>
          <w:rFonts w:ascii="Times New Roman" w:hAnsi="Times New Roman" w:eastAsia="DFKai-SB"/>
          <w:bCs/>
          <w:szCs w:val="24"/>
          <w:lang w:val="zh-CN"/>
        </w:rPr>
        <w:t>萬博化工為一家於中國註冊成立之有限責任公司，主營業務包括生產及銷售硫酸二甲酯、異丁基苯、硫酸、二氮雜二環、四甲基胍等化學產品以及銷售化工原料。 根據萬博化工的審計報告，其經審核財務數據如</w:t>
      </w:r>
      <w:r>
        <w:rPr>
          <w:rFonts w:ascii="Times New Roman" w:hAnsi="Times New Roman" w:eastAsia="DFKai-SB"/>
          <w:bCs/>
          <w:szCs w:val="24"/>
        </w:rPr>
        <w:t>下：</w:t>
      </w:r>
    </w:p>
    <w:p>
      <w:pPr>
        <w:pStyle w:val="5"/>
        <w:snapToGrid w:val="0"/>
        <w:jc w:val="both"/>
        <w:rPr>
          <w:rFonts w:ascii="Times New Roman" w:hAnsi="Times New Roman" w:eastAsia="DFKai-SB"/>
          <w:bCs/>
          <w:szCs w:val="24"/>
        </w:rPr>
      </w:pPr>
    </w:p>
    <w:p>
      <w:pPr>
        <w:pStyle w:val="5"/>
        <w:snapToGrid w:val="0"/>
        <w:jc w:val="both"/>
        <w:rPr>
          <w:rFonts w:ascii="Times New Roman" w:hAnsi="Times New Roman" w:eastAsia="DFKai-SB"/>
          <w:bCs/>
          <w:i/>
          <w:iCs/>
          <w:szCs w:val="24"/>
          <w:lang w:val="zh-CN"/>
        </w:rPr>
      </w:pPr>
      <w:r>
        <w:rPr>
          <w:rFonts w:ascii="Times New Roman" w:hAnsi="Times New Roman" w:eastAsia="DFKai-SB"/>
          <w:bCs/>
          <w:i/>
          <w:iCs/>
          <w:szCs w:val="24"/>
          <w:lang w:val="zh-CN"/>
        </w:rPr>
        <w:t>（約整至人民幣萬元）</w:t>
      </w:r>
    </w:p>
    <w:p>
      <w:pPr>
        <w:pStyle w:val="5"/>
        <w:snapToGrid w:val="0"/>
        <w:jc w:val="both"/>
        <w:rPr>
          <w:rFonts w:ascii="Times New Roman" w:hAnsi="Times New Roman" w:eastAsia="DFKai-SB"/>
          <w:bCs/>
          <w:szCs w:val="24"/>
          <w:lang w:val="zh-CN"/>
        </w:rPr>
      </w:pPr>
    </w:p>
    <w:p>
      <w:pPr>
        <w:pStyle w:val="5"/>
        <w:snapToGrid w:val="0"/>
        <w:jc w:val="both"/>
        <w:rPr>
          <w:rFonts w:ascii="Times New Roman" w:hAnsi="Times New Roman" w:eastAsia="DFKai-SB"/>
          <w:bCs/>
          <w:szCs w:val="24"/>
          <w:lang w:val="zh-CN"/>
        </w:rPr>
      </w:pPr>
    </w:p>
    <w:tbl>
      <w:tblPr>
        <w:tblStyle w:val="1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972"/>
        <w:gridCol w:w="993"/>
        <w:gridCol w:w="992"/>
        <w:gridCol w:w="992"/>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trPr>
        <w:tc>
          <w:tcPr>
            <w:tcW w:w="1296" w:type="dxa"/>
            <w:tcBorders>
              <w:tl2br w:val="single" w:color="auto" w:sz="4" w:space="0"/>
            </w:tcBorders>
          </w:tcPr>
          <w:p>
            <w:pPr>
              <w:pStyle w:val="10"/>
              <w:tabs>
                <w:tab w:val="left" w:pos="615"/>
              </w:tabs>
              <w:spacing w:before="120" w:line="360" w:lineRule="exact"/>
              <w:ind w:left="600" w:hanging="120" w:hangingChars="50"/>
              <w:jc w:val="center"/>
              <w:rPr>
                <w:rFonts w:eastAsia="DFKai-SB"/>
                <w:sz w:val="24"/>
                <w:szCs w:val="24"/>
                <w:lang w:eastAsia="zh-TW"/>
              </w:rPr>
            </w:pPr>
          </w:p>
          <w:p>
            <w:pPr>
              <w:pStyle w:val="10"/>
              <w:tabs>
                <w:tab w:val="left" w:pos="615"/>
              </w:tabs>
              <w:spacing w:before="120" w:line="360" w:lineRule="exact"/>
              <w:ind w:left="480"/>
              <w:jc w:val="center"/>
              <w:rPr>
                <w:rFonts w:eastAsia="DFKai-SB"/>
                <w:sz w:val="24"/>
                <w:szCs w:val="24"/>
              </w:rPr>
            </w:pPr>
            <w:r>
              <w:rPr>
                <w:rFonts w:eastAsia="DFKai-SB"/>
                <w:sz w:val="24"/>
                <w:szCs w:val="24"/>
              </w:rPr>
              <w:t>項目</w:t>
            </w:r>
          </w:p>
          <w:p>
            <w:pPr>
              <w:pStyle w:val="10"/>
              <w:tabs>
                <w:tab w:val="left" w:pos="615"/>
              </w:tabs>
              <w:spacing w:before="120" w:line="360" w:lineRule="exact"/>
              <w:ind w:left="480"/>
              <w:jc w:val="center"/>
              <w:rPr>
                <w:rFonts w:eastAsia="DFKai-SB"/>
                <w:sz w:val="24"/>
                <w:szCs w:val="24"/>
              </w:rPr>
            </w:pPr>
          </w:p>
          <w:p>
            <w:pPr>
              <w:jc w:val="center"/>
              <w:rPr>
                <w:rFonts w:eastAsia="DFKai-SB"/>
              </w:rPr>
            </w:pPr>
          </w:p>
          <w:p>
            <w:pPr>
              <w:jc w:val="center"/>
              <w:rPr>
                <w:rFonts w:eastAsia="DFKai-SB"/>
              </w:rPr>
            </w:pPr>
          </w:p>
          <w:p>
            <w:pPr>
              <w:jc w:val="center"/>
              <w:rPr>
                <w:rFonts w:eastAsia="DFKai-SB"/>
              </w:rPr>
            </w:pPr>
          </w:p>
          <w:p>
            <w:pPr>
              <w:jc w:val="center"/>
              <w:rPr>
                <w:rFonts w:eastAsia="DFKai-SB"/>
                <w:lang w:eastAsia="zh-CN"/>
              </w:rPr>
            </w:pPr>
            <w:r>
              <w:rPr>
                <w:rFonts w:eastAsia="DFKai-SB"/>
                <w:lang w:eastAsia="zh-CN"/>
              </w:rPr>
              <w:t>期間</w:t>
            </w:r>
          </w:p>
        </w:tc>
        <w:tc>
          <w:tcPr>
            <w:tcW w:w="972" w:type="dxa"/>
          </w:tcPr>
          <w:p>
            <w:pPr>
              <w:pStyle w:val="10"/>
              <w:spacing w:before="120" w:line="360" w:lineRule="exact"/>
              <w:ind w:left="-10" w:leftChars="-4"/>
              <w:jc w:val="center"/>
              <w:rPr>
                <w:rFonts w:eastAsia="DFKai-SB"/>
                <w:sz w:val="24"/>
                <w:szCs w:val="24"/>
              </w:rPr>
            </w:pPr>
            <w:r>
              <w:rPr>
                <w:rFonts w:eastAsia="DFKai-SB"/>
                <w:sz w:val="24"/>
                <w:szCs w:val="24"/>
              </w:rPr>
              <w:t>總資產</w:t>
            </w:r>
          </w:p>
        </w:tc>
        <w:tc>
          <w:tcPr>
            <w:tcW w:w="993" w:type="dxa"/>
          </w:tcPr>
          <w:p>
            <w:pPr>
              <w:pStyle w:val="10"/>
              <w:spacing w:before="120" w:line="360" w:lineRule="exact"/>
              <w:ind w:left="-10" w:leftChars="-4"/>
              <w:jc w:val="center"/>
              <w:rPr>
                <w:rFonts w:eastAsia="DFKai-SB"/>
                <w:sz w:val="24"/>
                <w:szCs w:val="24"/>
              </w:rPr>
            </w:pPr>
            <w:r>
              <w:rPr>
                <w:rFonts w:eastAsia="DFKai-SB"/>
                <w:sz w:val="24"/>
                <w:szCs w:val="24"/>
              </w:rPr>
              <w:t>總負債</w:t>
            </w:r>
          </w:p>
        </w:tc>
        <w:tc>
          <w:tcPr>
            <w:tcW w:w="992" w:type="dxa"/>
          </w:tcPr>
          <w:p>
            <w:pPr>
              <w:pStyle w:val="10"/>
              <w:spacing w:before="120" w:line="360" w:lineRule="exact"/>
              <w:ind w:left="-10" w:leftChars="-4"/>
              <w:jc w:val="center"/>
              <w:rPr>
                <w:rFonts w:eastAsia="DFKai-SB"/>
                <w:sz w:val="24"/>
                <w:szCs w:val="24"/>
              </w:rPr>
            </w:pPr>
            <w:r>
              <w:rPr>
                <w:rFonts w:eastAsia="DFKai-SB"/>
                <w:sz w:val="24"/>
                <w:szCs w:val="24"/>
              </w:rPr>
              <w:t>所有者權益</w:t>
            </w:r>
          </w:p>
        </w:tc>
        <w:tc>
          <w:tcPr>
            <w:tcW w:w="992" w:type="dxa"/>
          </w:tcPr>
          <w:p>
            <w:pPr>
              <w:pStyle w:val="10"/>
              <w:spacing w:before="120" w:line="360" w:lineRule="exact"/>
              <w:ind w:left="-10" w:leftChars="-4"/>
              <w:jc w:val="center"/>
              <w:rPr>
                <w:rFonts w:eastAsia="DFKai-SB"/>
                <w:sz w:val="24"/>
                <w:szCs w:val="24"/>
              </w:rPr>
            </w:pPr>
            <w:r>
              <w:rPr>
                <w:rFonts w:eastAsia="DFKai-SB"/>
                <w:sz w:val="24"/>
                <w:szCs w:val="24"/>
              </w:rPr>
              <w:t>營業收入</w:t>
            </w:r>
          </w:p>
        </w:tc>
        <w:tc>
          <w:tcPr>
            <w:tcW w:w="1134" w:type="dxa"/>
          </w:tcPr>
          <w:p>
            <w:pPr>
              <w:pStyle w:val="10"/>
              <w:spacing w:before="120" w:line="360" w:lineRule="exact"/>
              <w:ind w:left="-10" w:leftChars="-4"/>
              <w:jc w:val="center"/>
              <w:rPr>
                <w:rFonts w:eastAsia="DFKai-SB"/>
                <w:sz w:val="24"/>
                <w:szCs w:val="24"/>
              </w:rPr>
            </w:pPr>
            <w:r>
              <w:rPr>
                <w:rFonts w:eastAsia="DFKai-SB"/>
                <w:sz w:val="24"/>
                <w:szCs w:val="24"/>
              </w:rPr>
              <w:t>營業利潤</w:t>
            </w:r>
          </w:p>
        </w:tc>
        <w:tc>
          <w:tcPr>
            <w:tcW w:w="1134" w:type="dxa"/>
          </w:tcPr>
          <w:p>
            <w:pPr>
              <w:pStyle w:val="10"/>
              <w:spacing w:before="120" w:line="360" w:lineRule="exact"/>
              <w:ind w:left="-10" w:leftChars="-4"/>
              <w:jc w:val="center"/>
              <w:rPr>
                <w:rFonts w:eastAsia="DFKai-SB"/>
                <w:sz w:val="24"/>
                <w:szCs w:val="24"/>
                <w:lang w:eastAsia="zh-TW"/>
              </w:rPr>
            </w:pPr>
            <w:r>
              <w:rPr>
                <w:rFonts w:eastAsia="DFKai-SB"/>
                <w:sz w:val="24"/>
                <w:szCs w:val="24"/>
                <w:lang w:eastAsia="zh-TW"/>
              </w:rPr>
              <w:t>淨利潤（除所得稅前）</w:t>
            </w:r>
          </w:p>
        </w:tc>
        <w:tc>
          <w:tcPr>
            <w:tcW w:w="1134" w:type="dxa"/>
          </w:tcPr>
          <w:p>
            <w:pPr>
              <w:pStyle w:val="10"/>
              <w:spacing w:before="120" w:line="360" w:lineRule="exact"/>
              <w:ind w:left="-10" w:leftChars="-4"/>
              <w:jc w:val="center"/>
              <w:rPr>
                <w:rFonts w:eastAsia="DFKai-SB"/>
                <w:sz w:val="24"/>
                <w:szCs w:val="24"/>
                <w:lang w:eastAsia="zh-TW"/>
              </w:rPr>
            </w:pPr>
            <w:r>
              <w:rPr>
                <w:rFonts w:eastAsia="DFKai-SB"/>
                <w:sz w:val="24"/>
                <w:szCs w:val="24"/>
                <w:lang w:eastAsia="zh-TW"/>
              </w:rPr>
              <w:t>淨利潤（除所得稅後）</w:t>
            </w:r>
          </w:p>
        </w:tc>
        <w:tc>
          <w:tcPr>
            <w:tcW w:w="1134" w:type="dxa"/>
          </w:tcPr>
          <w:p>
            <w:pPr>
              <w:pStyle w:val="10"/>
              <w:spacing w:before="120" w:line="360" w:lineRule="exact"/>
              <w:ind w:left="-10" w:leftChars="-4"/>
              <w:jc w:val="center"/>
              <w:rPr>
                <w:rFonts w:eastAsia="DFKai-SB"/>
                <w:sz w:val="24"/>
                <w:szCs w:val="24"/>
                <w:lang w:eastAsia="zh-TW"/>
              </w:rPr>
            </w:pPr>
            <w:r>
              <w:rPr>
                <w:rFonts w:eastAsia="DFKai-SB"/>
                <w:sz w:val="24"/>
                <w:szCs w:val="24"/>
                <w:lang w:eastAsia="zh-TW"/>
              </w:rPr>
              <w:t>經營活動產生的現金流量淨額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tcPr>
          <w:p>
            <w:pPr>
              <w:pStyle w:val="10"/>
              <w:spacing w:before="120" w:line="360" w:lineRule="exact"/>
              <w:ind w:left="0" w:leftChars="0"/>
              <w:jc w:val="left"/>
              <w:rPr>
                <w:rFonts w:eastAsia="DFKai-SB"/>
                <w:sz w:val="21"/>
                <w:szCs w:val="21"/>
              </w:rPr>
            </w:pPr>
            <w:r>
              <w:rPr>
                <w:rFonts w:eastAsia="DFKai-SB"/>
                <w:sz w:val="21"/>
                <w:szCs w:val="21"/>
              </w:rPr>
              <w:t>截至2016年12月31日止年度</w:t>
            </w:r>
          </w:p>
        </w:tc>
        <w:tc>
          <w:tcPr>
            <w:tcW w:w="972" w:type="dxa"/>
          </w:tcPr>
          <w:p>
            <w:pPr>
              <w:pStyle w:val="10"/>
              <w:spacing w:before="120" w:line="360" w:lineRule="exact"/>
              <w:ind w:left="-10" w:leftChars="-4"/>
              <w:jc w:val="right"/>
              <w:rPr>
                <w:rFonts w:eastAsia="DFKai-SB"/>
                <w:sz w:val="21"/>
                <w:szCs w:val="21"/>
              </w:rPr>
            </w:pPr>
            <w:r>
              <w:rPr>
                <w:rFonts w:eastAsia="DFKai-SB"/>
                <w:sz w:val="21"/>
                <w:szCs w:val="21"/>
              </w:rPr>
              <w:t>5,625.57</w:t>
            </w:r>
          </w:p>
        </w:tc>
        <w:tc>
          <w:tcPr>
            <w:tcW w:w="993" w:type="dxa"/>
          </w:tcPr>
          <w:p>
            <w:pPr>
              <w:pStyle w:val="10"/>
              <w:spacing w:before="120" w:line="360" w:lineRule="exact"/>
              <w:ind w:left="-10" w:leftChars="-4"/>
              <w:jc w:val="right"/>
              <w:rPr>
                <w:rFonts w:eastAsia="DFKai-SB"/>
                <w:sz w:val="21"/>
                <w:szCs w:val="21"/>
              </w:rPr>
            </w:pPr>
            <w:r>
              <w:rPr>
                <w:rFonts w:eastAsia="DFKai-SB"/>
                <w:sz w:val="21"/>
                <w:szCs w:val="21"/>
              </w:rPr>
              <w:t>4,767.2</w:t>
            </w:r>
            <w:r>
              <w:rPr>
                <w:sz w:val="21"/>
                <w:szCs w:val="21"/>
              </w:rPr>
              <w:t>8</w:t>
            </w:r>
          </w:p>
        </w:tc>
        <w:tc>
          <w:tcPr>
            <w:tcW w:w="992" w:type="dxa"/>
          </w:tcPr>
          <w:p>
            <w:pPr>
              <w:pStyle w:val="10"/>
              <w:spacing w:before="120" w:line="360" w:lineRule="exact"/>
              <w:ind w:left="-10" w:leftChars="-4"/>
              <w:jc w:val="right"/>
              <w:rPr>
                <w:rFonts w:eastAsia="DFKai-SB"/>
                <w:sz w:val="21"/>
                <w:szCs w:val="21"/>
              </w:rPr>
            </w:pPr>
            <w:r>
              <w:rPr>
                <w:rFonts w:eastAsia="DFKai-SB"/>
                <w:sz w:val="21"/>
                <w:szCs w:val="21"/>
              </w:rPr>
              <w:t>858.</w:t>
            </w:r>
            <w:r>
              <w:rPr>
                <w:sz w:val="21"/>
                <w:szCs w:val="21"/>
              </w:rPr>
              <w:t>29</w:t>
            </w:r>
          </w:p>
        </w:tc>
        <w:tc>
          <w:tcPr>
            <w:tcW w:w="992" w:type="dxa"/>
          </w:tcPr>
          <w:p>
            <w:pPr>
              <w:pStyle w:val="10"/>
              <w:spacing w:before="120" w:line="360" w:lineRule="exact"/>
              <w:ind w:left="-10" w:leftChars="-4"/>
              <w:jc w:val="right"/>
              <w:rPr>
                <w:rFonts w:eastAsia="DFKai-SB"/>
                <w:sz w:val="21"/>
                <w:szCs w:val="21"/>
              </w:rPr>
            </w:pPr>
            <w:r>
              <w:rPr>
                <w:rFonts w:eastAsia="DFKai-SB"/>
                <w:sz w:val="21"/>
                <w:szCs w:val="21"/>
              </w:rPr>
              <w:t>7,951.71</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381.</w:t>
            </w:r>
            <w:r>
              <w:rPr>
                <w:sz w:val="21"/>
                <w:szCs w:val="21"/>
              </w:rPr>
              <w:t>30</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252.91</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217.6</w:t>
            </w:r>
            <w:r>
              <w:rPr>
                <w:sz w:val="21"/>
                <w:szCs w:val="21"/>
              </w:rPr>
              <w:t>4</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1,294.96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tcPr>
          <w:p>
            <w:pPr>
              <w:pStyle w:val="10"/>
              <w:spacing w:before="120" w:line="360" w:lineRule="exact"/>
              <w:ind w:left="0" w:leftChars="0"/>
              <w:jc w:val="left"/>
              <w:rPr>
                <w:rFonts w:eastAsia="DFKai-SB"/>
                <w:sz w:val="21"/>
                <w:szCs w:val="21"/>
              </w:rPr>
            </w:pPr>
            <w:r>
              <w:rPr>
                <w:rFonts w:eastAsia="DFKai-SB"/>
                <w:sz w:val="21"/>
                <w:szCs w:val="21"/>
              </w:rPr>
              <w:t>截至2017年12月31日止年度</w:t>
            </w:r>
          </w:p>
        </w:tc>
        <w:tc>
          <w:tcPr>
            <w:tcW w:w="972" w:type="dxa"/>
          </w:tcPr>
          <w:p>
            <w:pPr>
              <w:pStyle w:val="10"/>
              <w:spacing w:before="120" w:line="360" w:lineRule="exact"/>
              <w:ind w:left="-10" w:leftChars="-4"/>
              <w:jc w:val="right"/>
              <w:rPr>
                <w:rFonts w:eastAsia="DFKai-SB"/>
                <w:sz w:val="21"/>
                <w:szCs w:val="21"/>
              </w:rPr>
            </w:pPr>
            <w:r>
              <w:rPr>
                <w:rFonts w:eastAsia="DFKai-SB"/>
                <w:sz w:val="21"/>
                <w:szCs w:val="21"/>
              </w:rPr>
              <w:t>6,052.79</w:t>
            </w:r>
          </w:p>
        </w:tc>
        <w:tc>
          <w:tcPr>
            <w:tcW w:w="993" w:type="dxa"/>
          </w:tcPr>
          <w:p>
            <w:pPr>
              <w:pStyle w:val="10"/>
              <w:spacing w:before="120" w:line="360" w:lineRule="exact"/>
              <w:ind w:left="-10" w:leftChars="-4"/>
              <w:jc w:val="right"/>
              <w:rPr>
                <w:rFonts w:eastAsia="DFKai-SB"/>
                <w:sz w:val="21"/>
                <w:szCs w:val="21"/>
              </w:rPr>
            </w:pPr>
            <w:r>
              <w:rPr>
                <w:rFonts w:eastAsia="DFKai-SB"/>
                <w:sz w:val="21"/>
                <w:szCs w:val="21"/>
              </w:rPr>
              <w:t>4,631.30</w:t>
            </w:r>
          </w:p>
        </w:tc>
        <w:tc>
          <w:tcPr>
            <w:tcW w:w="992" w:type="dxa"/>
          </w:tcPr>
          <w:p>
            <w:pPr>
              <w:pStyle w:val="10"/>
              <w:spacing w:before="120" w:line="360" w:lineRule="exact"/>
              <w:ind w:left="-10" w:leftChars="-4"/>
              <w:jc w:val="right"/>
              <w:rPr>
                <w:rFonts w:eastAsia="DFKai-SB"/>
                <w:sz w:val="21"/>
                <w:szCs w:val="21"/>
              </w:rPr>
            </w:pPr>
            <w:r>
              <w:rPr>
                <w:rFonts w:eastAsia="DFKai-SB"/>
                <w:sz w:val="21"/>
                <w:szCs w:val="21"/>
              </w:rPr>
              <w:t>1,421.</w:t>
            </w:r>
            <w:r>
              <w:rPr>
                <w:sz w:val="21"/>
                <w:szCs w:val="21"/>
              </w:rPr>
              <w:t>49</w:t>
            </w:r>
          </w:p>
        </w:tc>
        <w:tc>
          <w:tcPr>
            <w:tcW w:w="992" w:type="dxa"/>
          </w:tcPr>
          <w:p>
            <w:pPr>
              <w:pStyle w:val="10"/>
              <w:spacing w:before="120" w:line="360" w:lineRule="exact"/>
              <w:ind w:left="-10" w:leftChars="-4"/>
              <w:jc w:val="right"/>
              <w:rPr>
                <w:rFonts w:eastAsia="DFKai-SB"/>
                <w:sz w:val="21"/>
                <w:szCs w:val="21"/>
              </w:rPr>
            </w:pPr>
            <w:r>
              <w:rPr>
                <w:rFonts w:eastAsia="DFKai-SB"/>
                <w:sz w:val="21"/>
                <w:szCs w:val="21"/>
              </w:rPr>
              <w:t>8,165.83</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675.91</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563.83</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405.17</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424.13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tcPr>
          <w:p>
            <w:pPr>
              <w:pStyle w:val="10"/>
              <w:spacing w:before="120" w:line="360" w:lineRule="exact"/>
              <w:ind w:left="0" w:leftChars="0"/>
              <w:jc w:val="left"/>
              <w:rPr>
                <w:rFonts w:eastAsia="DFKai-SB"/>
                <w:sz w:val="21"/>
                <w:szCs w:val="21"/>
              </w:rPr>
            </w:pPr>
            <w:r>
              <w:rPr>
                <w:rFonts w:eastAsia="DFKai-SB"/>
                <w:sz w:val="21"/>
                <w:szCs w:val="21"/>
              </w:rPr>
              <w:t>截至2018年12月31日止年度</w:t>
            </w:r>
          </w:p>
        </w:tc>
        <w:tc>
          <w:tcPr>
            <w:tcW w:w="972" w:type="dxa"/>
          </w:tcPr>
          <w:p>
            <w:pPr>
              <w:pStyle w:val="10"/>
              <w:spacing w:before="120" w:line="360" w:lineRule="exact"/>
              <w:ind w:left="-10" w:leftChars="-4"/>
              <w:jc w:val="right"/>
              <w:rPr>
                <w:rFonts w:eastAsia="DFKai-SB"/>
                <w:sz w:val="21"/>
                <w:szCs w:val="21"/>
              </w:rPr>
            </w:pPr>
            <w:r>
              <w:rPr>
                <w:rFonts w:eastAsia="DFKai-SB"/>
                <w:sz w:val="21"/>
                <w:szCs w:val="21"/>
              </w:rPr>
              <w:t>6,773.3</w:t>
            </w:r>
            <w:r>
              <w:rPr>
                <w:sz w:val="21"/>
                <w:szCs w:val="21"/>
              </w:rPr>
              <w:t>4</w:t>
            </w:r>
          </w:p>
        </w:tc>
        <w:tc>
          <w:tcPr>
            <w:tcW w:w="993" w:type="dxa"/>
          </w:tcPr>
          <w:p>
            <w:pPr>
              <w:pStyle w:val="10"/>
              <w:spacing w:before="120" w:line="360" w:lineRule="exact"/>
              <w:ind w:left="-10" w:leftChars="-4"/>
              <w:jc w:val="right"/>
              <w:rPr>
                <w:rFonts w:eastAsia="DFKai-SB"/>
                <w:sz w:val="21"/>
                <w:szCs w:val="21"/>
              </w:rPr>
            </w:pPr>
            <w:r>
              <w:rPr>
                <w:rFonts w:eastAsia="DFKai-SB"/>
                <w:sz w:val="21"/>
                <w:szCs w:val="21"/>
              </w:rPr>
              <w:t>2,945.93</w:t>
            </w:r>
          </w:p>
        </w:tc>
        <w:tc>
          <w:tcPr>
            <w:tcW w:w="992" w:type="dxa"/>
          </w:tcPr>
          <w:p>
            <w:pPr>
              <w:pStyle w:val="10"/>
              <w:spacing w:before="120" w:line="360" w:lineRule="exact"/>
              <w:ind w:left="-10" w:leftChars="-4"/>
              <w:jc w:val="right"/>
              <w:rPr>
                <w:rFonts w:eastAsia="DFKai-SB"/>
                <w:sz w:val="21"/>
                <w:szCs w:val="21"/>
              </w:rPr>
            </w:pPr>
            <w:r>
              <w:rPr>
                <w:rFonts w:eastAsia="DFKai-SB"/>
                <w:sz w:val="21"/>
                <w:szCs w:val="21"/>
              </w:rPr>
              <w:t>3,827.4</w:t>
            </w:r>
            <w:r>
              <w:rPr>
                <w:sz w:val="21"/>
                <w:szCs w:val="21"/>
              </w:rPr>
              <w:t>1</w:t>
            </w:r>
          </w:p>
        </w:tc>
        <w:tc>
          <w:tcPr>
            <w:tcW w:w="992" w:type="dxa"/>
          </w:tcPr>
          <w:p>
            <w:pPr>
              <w:pStyle w:val="10"/>
              <w:spacing w:before="120" w:line="360" w:lineRule="exact"/>
              <w:ind w:left="-10" w:leftChars="-4"/>
              <w:jc w:val="right"/>
              <w:rPr>
                <w:rFonts w:eastAsia="DFKai-SB"/>
                <w:sz w:val="21"/>
                <w:szCs w:val="21"/>
              </w:rPr>
            </w:pPr>
            <w:r>
              <w:rPr>
                <w:rFonts w:eastAsia="DFKai-SB"/>
                <w:sz w:val="21"/>
                <w:szCs w:val="21"/>
              </w:rPr>
              <w:t>10,090.90</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614.5</w:t>
            </w:r>
            <w:r>
              <w:rPr>
                <w:sz w:val="21"/>
                <w:szCs w:val="21"/>
              </w:rPr>
              <w:t>2</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589.24</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434.28</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-2,214.68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tcPr>
          <w:p>
            <w:pPr>
              <w:pStyle w:val="7"/>
              <w:tabs>
                <w:tab w:val="clear" w:pos="4513"/>
                <w:tab w:val="clear" w:pos="9026"/>
              </w:tabs>
              <w:spacing w:before="120" w:after="120" w:line="360" w:lineRule="exact"/>
              <w:rPr>
                <w:rFonts w:eastAsia="DFKai-SB"/>
                <w:sz w:val="21"/>
                <w:szCs w:val="21"/>
              </w:rPr>
            </w:pPr>
            <w:r>
              <w:rPr>
                <w:rFonts w:eastAsia="DFKai-SB"/>
                <w:sz w:val="21"/>
                <w:szCs w:val="21"/>
              </w:rPr>
              <w:t>截至2019年4月30日止四個月</w:t>
            </w:r>
          </w:p>
        </w:tc>
        <w:tc>
          <w:tcPr>
            <w:tcW w:w="972" w:type="dxa"/>
          </w:tcPr>
          <w:p>
            <w:pPr>
              <w:pStyle w:val="10"/>
              <w:spacing w:before="120" w:line="360" w:lineRule="exact"/>
              <w:ind w:left="-10" w:leftChars="-4"/>
              <w:jc w:val="right"/>
              <w:rPr>
                <w:rFonts w:eastAsia="DFKai-SB"/>
                <w:sz w:val="21"/>
                <w:szCs w:val="21"/>
              </w:rPr>
            </w:pPr>
            <w:r>
              <w:rPr>
                <w:rFonts w:eastAsia="DFKai-SB"/>
                <w:sz w:val="21"/>
                <w:szCs w:val="21"/>
              </w:rPr>
              <w:t>6,587.0</w:t>
            </w:r>
            <w:r>
              <w:rPr>
                <w:sz w:val="21"/>
                <w:szCs w:val="21"/>
              </w:rPr>
              <w:t>6</w:t>
            </w:r>
          </w:p>
        </w:tc>
        <w:tc>
          <w:tcPr>
            <w:tcW w:w="993" w:type="dxa"/>
          </w:tcPr>
          <w:p>
            <w:pPr>
              <w:pStyle w:val="10"/>
              <w:spacing w:before="120" w:line="360" w:lineRule="exact"/>
              <w:ind w:left="-10" w:leftChars="-4"/>
              <w:jc w:val="right"/>
              <w:rPr>
                <w:rFonts w:eastAsia="DFKai-SB"/>
                <w:sz w:val="21"/>
                <w:szCs w:val="21"/>
              </w:rPr>
            </w:pPr>
            <w:r>
              <w:rPr>
                <w:rFonts w:eastAsia="DFKai-SB"/>
                <w:sz w:val="21"/>
                <w:szCs w:val="21"/>
              </w:rPr>
              <w:t>2,614.56</w:t>
            </w:r>
          </w:p>
        </w:tc>
        <w:tc>
          <w:tcPr>
            <w:tcW w:w="992" w:type="dxa"/>
          </w:tcPr>
          <w:p>
            <w:pPr>
              <w:pStyle w:val="10"/>
              <w:spacing w:before="120" w:line="360" w:lineRule="exact"/>
              <w:ind w:left="-10" w:leftChars="-4"/>
              <w:jc w:val="right"/>
              <w:rPr>
                <w:rFonts w:eastAsia="DFKai-SB"/>
                <w:sz w:val="21"/>
                <w:szCs w:val="21"/>
              </w:rPr>
            </w:pPr>
            <w:r>
              <w:rPr>
                <w:rFonts w:eastAsia="DFKai-SB"/>
                <w:sz w:val="21"/>
                <w:szCs w:val="21"/>
              </w:rPr>
              <w:t>3,972.50</w:t>
            </w:r>
          </w:p>
        </w:tc>
        <w:tc>
          <w:tcPr>
            <w:tcW w:w="992" w:type="dxa"/>
          </w:tcPr>
          <w:p>
            <w:pPr>
              <w:pStyle w:val="10"/>
              <w:spacing w:before="120" w:line="360" w:lineRule="exact"/>
              <w:ind w:left="-10" w:leftChars="-4"/>
              <w:jc w:val="right"/>
              <w:rPr>
                <w:rFonts w:eastAsia="DFKai-SB"/>
                <w:sz w:val="21"/>
                <w:szCs w:val="21"/>
              </w:rPr>
            </w:pPr>
            <w:r>
              <w:rPr>
                <w:rFonts w:eastAsia="DFKai-SB"/>
                <w:sz w:val="21"/>
                <w:szCs w:val="21"/>
              </w:rPr>
              <w:t>3,302.81</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248.1</w:t>
            </w:r>
            <w:r>
              <w:rPr>
                <w:sz w:val="21"/>
                <w:szCs w:val="21"/>
              </w:rPr>
              <w:t>2</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243.31</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181.1</w:t>
            </w:r>
            <w:r>
              <w:rPr>
                <w:sz w:val="21"/>
                <w:szCs w:val="21"/>
              </w:rPr>
              <w:t>5</w:t>
            </w:r>
          </w:p>
        </w:tc>
        <w:tc>
          <w:tcPr>
            <w:tcW w:w="1134" w:type="dxa"/>
          </w:tcPr>
          <w:p>
            <w:pPr>
              <w:pStyle w:val="10"/>
              <w:spacing w:before="120" w:line="360" w:lineRule="exact"/>
              <w:ind w:left="-10" w:leftChars="-4"/>
              <w:jc w:val="right"/>
              <w:rPr>
                <w:rFonts w:eastAsia="DFKai-SB"/>
                <w:sz w:val="21"/>
                <w:szCs w:val="21"/>
              </w:rPr>
            </w:pPr>
            <w:r>
              <w:rPr>
                <w:rFonts w:eastAsia="DFKai-SB"/>
                <w:sz w:val="21"/>
                <w:szCs w:val="21"/>
              </w:rPr>
              <w:t>59.05</w:t>
            </w:r>
          </w:p>
        </w:tc>
      </w:tr>
    </w:tbl>
    <w:p>
      <w:pPr>
        <w:pStyle w:val="5"/>
        <w:snapToGrid w:val="0"/>
        <w:jc w:val="both"/>
        <w:rPr>
          <w:rFonts w:ascii="Times New Roman" w:hAnsi="Times New Roman" w:eastAsia="DFKai-SB"/>
          <w:bCs/>
          <w:szCs w:val="24"/>
          <w:lang w:val="zh-CN"/>
        </w:rPr>
      </w:pPr>
    </w:p>
    <w:p>
      <w:pPr>
        <w:rPr>
          <w:rFonts w:eastAsia="DFKai-SB"/>
          <w:b/>
          <w:lang w:val="zh-CN"/>
        </w:rPr>
      </w:pPr>
      <w:r>
        <w:rPr>
          <w:rFonts w:eastAsia="DFKai-SB"/>
          <w:b/>
          <w:lang w:val="zh-CN"/>
        </w:rPr>
        <w:t>上市規則涵義</w:t>
      </w:r>
    </w:p>
    <w:p>
      <w:pPr>
        <w:rPr>
          <w:rFonts w:eastAsia="DFKai-SB"/>
          <w:b/>
          <w:lang w:val="zh-CN"/>
        </w:rPr>
      </w:pPr>
    </w:p>
    <w:p>
      <w:pPr>
        <w:pStyle w:val="5"/>
        <w:snapToGrid w:val="0"/>
        <w:jc w:val="both"/>
        <w:rPr>
          <w:rFonts w:ascii="Times New Roman" w:hAnsi="Times New Roman" w:eastAsia="DFKai-SB"/>
          <w:bCs/>
          <w:szCs w:val="24"/>
        </w:rPr>
      </w:pPr>
      <w:r>
        <w:rPr>
          <w:rFonts w:ascii="Times New Roman" w:hAnsi="Times New Roman" w:eastAsia="DFKai-SB"/>
          <w:bCs/>
          <w:szCs w:val="24"/>
        </w:rPr>
        <w:t>截至本公告日期，華魯控股集團為中華人民共和國國有全資企業，為本公司直接控股股東</w:t>
      </w:r>
      <w:r>
        <w:rPr>
          <w:rFonts w:hint="eastAsia" w:ascii="Times New Roman" w:hAnsi="Times New Roman" w:eastAsia="DFKai-SB"/>
          <w:bCs/>
          <w:szCs w:val="24"/>
          <w:lang w:eastAsia="zh-HK"/>
        </w:rPr>
        <w:t>，故此是公司的</w:t>
      </w:r>
      <w:r>
        <w:rPr>
          <w:rFonts w:hint="eastAsia" w:ascii="Times New Roman" w:hAnsi="Times New Roman" w:eastAsia="DFKai-SB"/>
          <w:bCs/>
          <w:szCs w:val="24"/>
        </w:rPr>
        <w:t>關連人士。因此，根據上市規則第14A章，協議及其擬進行的交易構成本公司的關連交易。</w:t>
      </w:r>
    </w:p>
    <w:p>
      <w:pPr>
        <w:pStyle w:val="5"/>
        <w:snapToGrid w:val="0"/>
        <w:jc w:val="both"/>
        <w:rPr>
          <w:rFonts w:ascii="Times New Roman" w:hAnsi="Times New Roman" w:eastAsia="DFKai-SB"/>
          <w:bCs/>
          <w:szCs w:val="24"/>
        </w:rPr>
      </w:pPr>
    </w:p>
    <w:p>
      <w:pPr>
        <w:pStyle w:val="5"/>
        <w:snapToGrid w:val="0"/>
        <w:jc w:val="both"/>
        <w:rPr>
          <w:rFonts w:ascii="Times New Roman" w:hAnsi="Times New Roman" w:eastAsia="DFKai-SB"/>
          <w:bCs/>
          <w:szCs w:val="24"/>
        </w:rPr>
      </w:pPr>
      <w:r>
        <w:rPr>
          <w:rFonts w:ascii="Times New Roman" w:hAnsi="Times New Roman" w:eastAsia="DFKai-SB"/>
          <w:bCs/>
          <w:szCs w:val="24"/>
        </w:rPr>
        <w:t>茲提述本公司日期為 201</w:t>
      </w:r>
      <w:r>
        <w:rPr>
          <w:rFonts w:hint="eastAsia" w:ascii="Times New Roman" w:hAnsi="Times New Roman" w:eastAsia="DFKai-SB"/>
          <w:bCs/>
          <w:szCs w:val="24"/>
        </w:rPr>
        <w:t>8</w:t>
      </w:r>
      <w:r>
        <w:rPr>
          <w:rFonts w:ascii="Times New Roman" w:hAnsi="Times New Roman" w:eastAsia="DFKai-SB"/>
          <w:bCs/>
          <w:szCs w:val="24"/>
        </w:rPr>
        <w:t xml:space="preserve"> 年 10 月</w:t>
      </w:r>
      <w:r>
        <w:rPr>
          <w:rFonts w:hint="eastAsia" w:ascii="Times New Roman" w:hAnsi="Times New Roman" w:eastAsia="DFKai-SB"/>
          <w:bCs/>
          <w:szCs w:val="24"/>
        </w:rPr>
        <w:t>22</w:t>
      </w:r>
      <w:r>
        <w:rPr>
          <w:rFonts w:ascii="Times New Roman" w:hAnsi="Times New Roman" w:eastAsia="DFKai-SB"/>
          <w:bCs/>
          <w:szCs w:val="24"/>
        </w:rPr>
        <w:t>日</w:t>
      </w:r>
      <w:r>
        <w:rPr>
          <w:rFonts w:hint="eastAsia" w:ascii="Times New Roman" w:hAnsi="Times New Roman" w:eastAsia="DFKai-SB"/>
          <w:bCs/>
          <w:szCs w:val="24"/>
          <w:lang w:eastAsia="zh-HK"/>
        </w:rPr>
        <w:t>、</w:t>
      </w:r>
      <w:r>
        <w:rPr>
          <w:rFonts w:ascii="Times New Roman" w:hAnsi="Times New Roman" w:eastAsia="DFKai-SB"/>
          <w:bCs/>
          <w:szCs w:val="24"/>
        </w:rPr>
        <w:t>201</w:t>
      </w:r>
      <w:r>
        <w:rPr>
          <w:rFonts w:hint="eastAsia" w:ascii="Times New Roman" w:hAnsi="Times New Roman" w:eastAsia="DFKai-SB"/>
          <w:bCs/>
          <w:szCs w:val="24"/>
        </w:rPr>
        <w:t>8</w:t>
      </w:r>
      <w:r>
        <w:rPr>
          <w:rFonts w:ascii="Times New Roman" w:hAnsi="Times New Roman" w:eastAsia="DFKai-SB"/>
          <w:bCs/>
          <w:szCs w:val="24"/>
        </w:rPr>
        <w:t xml:space="preserve"> 年 1</w:t>
      </w:r>
      <w:r>
        <w:rPr>
          <w:rFonts w:hint="eastAsia" w:ascii="Times New Roman" w:hAnsi="Times New Roman" w:eastAsia="DFKai-SB"/>
          <w:bCs/>
          <w:szCs w:val="24"/>
        </w:rPr>
        <w:t>1</w:t>
      </w:r>
      <w:r>
        <w:rPr>
          <w:rFonts w:ascii="Times New Roman" w:hAnsi="Times New Roman" w:eastAsia="DFKai-SB"/>
          <w:bCs/>
          <w:szCs w:val="24"/>
        </w:rPr>
        <w:t xml:space="preserve"> 月</w:t>
      </w:r>
      <w:r>
        <w:rPr>
          <w:rFonts w:hint="eastAsia" w:ascii="Times New Roman" w:hAnsi="Times New Roman" w:eastAsia="DFKai-SB"/>
          <w:bCs/>
          <w:szCs w:val="24"/>
        </w:rPr>
        <w:t>30</w:t>
      </w:r>
      <w:r>
        <w:rPr>
          <w:rFonts w:ascii="Times New Roman" w:hAnsi="Times New Roman" w:eastAsia="DFKai-SB"/>
          <w:bCs/>
          <w:szCs w:val="24"/>
        </w:rPr>
        <w:t>日</w:t>
      </w:r>
      <w:r>
        <w:rPr>
          <w:rFonts w:hint="eastAsia" w:ascii="Times New Roman" w:hAnsi="Times New Roman" w:eastAsia="DFKai-SB"/>
          <w:bCs/>
          <w:szCs w:val="24"/>
          <w:lang w:eastAsia="zh-HK"/>
        </w:rPr>
        <w:t>、</w:t>
      </w:r>
      <w:r>
        <w:rPr>
          <w:rFonts w:ascii="Times New Roman" w:hAnsi="Times New Roman" w:eastAsia="DFKai-SB"/>
          <w:bCs/>
          <w:szCs w:val="24"/>
        </w:rPr>
        <w:t xml:space="preserve">2019 年 </w:t>
      </w:r>
      <w:r>
        <w:rPr>
          <w:rFonts w:hint="eastAsia" w:ascii="Times New Roman" w:hAnsi="Times New Roman" w:eastAsia="DFKai-SB"/>
          <w:bCs/>
          <w:szCs w:val="24"/>
        </w:rPr>
        <w:t>9</w:t>
      </w:r>
      <w:r>
        <w:rPr>
          <w:rFonts w:ascii="Times New Roman" w:hAnsi="Times New Roman" w:eastAsia="DFKai-SB"/>
          <w:bCs/>
          <w:szCs w:val="24"/>
        </w:rPr>
        <w:t xml:space="preserve"> 月 1</w:t>
      </w:r>
      <w:r>
        <w:rPr>
          <w:rFonts w:hint="eastAsia" w:ascii="Times New Roman" w:hAnsi="Times New Roman" w:eastAsia="DFKai-SB"/>
          <w:bCs/>
          <w:szCs w:val="24"/>
        </w:rPr>
        <w:t>8</w:t>
      </w:r>
      <w:r>
        <w:rPr>
          <w:rFonts w:ascii="Times New Roman" w:hAnsi="Times New Roman" w:eastAsia="DFKai-SB"/>
          <w:bCs/>
          <w:szCs w:val="24"/>
        </w:rPr>
        <w:t xml:space="preserve"> 日</w:t>
      </w:r>
      <w:r>
        <w:rPr>
          <w:rFonts w:hint="eastAsia" w:ascii="Times New Roman" w:hAnsi="Times New Roman" w:eastAsia="DFKai-SB"/>
          <w:bCs/>
          <w:szCs w:val="24"/>
          <w:lang w:eastAsia="zh-HK"/>
        </w:rPr>
        <w:t>和</w:t>
      </w:r>
      <w:r>
        <w:rPr>
          <w:rFonts w:ascii="Times New Roman" w:hAnsi="Times New Roman" w:eastAsia="DFKai-SB"/>
          <w:bCs/>
          <w:szCs w:val="24"/>
        </w:rPr>
        <w:t>2019 年 10 月 11 日</w:t>
      </w:r>
      <w:r>
        <w:rPr>
          <w:rFonts w:hint="eastAsia" w:ascii="Times New Roman" w:hAnsi="Times New Roman" w:eastAsia="DFKai-SB"/>
          <w:bCs/>
          <w:szCs w:val="24"/>
          <w:lang w:eastAsia="zh-HK"/>
        </w:rPr>
        <w:t>有關</w:t>
      </w:r>
      <w:r>
        <w:rPr>
          <w:rFonts w:ascii="Times New Roman" w:hAnsi="Times New Roman" w:eastAsia="DFKai-SB"/>
          <w:bCs/>
          <w:szCs w:val="24"/>
        </w:rPr>
        <w:t>前次收購之公告。根據上市規則第 14.22 條及第 14A.81 條，本</w:t>
      </w:r>
      <w:r>
        <w:rPr>
          <w:rFonts w:ascii="Times New Roman" w:hAnsi="Times New Roman" w:eastAsia="DFKai-SB"/>
          <w:bCs/>
          <w:szCs w:val="24"/>
          <w:lang w:eastAsia="zh-HK"/>
        </w:rPr>
        <w:t>協議</w:t>
      </w:r>
      <w:r>
        <w:rPr>
          <w:rFonts w:ascii="Times New Roman" w:hAnsi="Times New Roman" w:eastAsia="DFKai-SB"/>
          <w:bCs/>
          <w:szCs w:val="24"/>
        </w:rPr>
        <w:t>項下擬進行的交易將與前次收購項下的交易合併，</w:t>
      </w:r>
      <w:r>
        <w:rPr>
          <w:rFonts w:hint="eastAsia" w:ascii="Times New Roman" w:hAnsi="Times New Roman" w:eastAsia="DFKai-SB"/>
          <w:bCs/>
          <w:szCs w:val="24"/>
        </w:rPr>
        <w:t>並視作一項交易處理</w:t>
      </w:r>
      <w:r>
        <w:rPr>
          <w:rFonts w:hint="eastAsia" w:ascii="Times New Roman" w:hAnsi="Times New Roman" w:eastAsia="DFKai-SB"/>
          <w:bCs/>
          <w:szCs w:val="24"/>
          <w:lang w:eastAsia="zh-HK"/>
        </w:rPr>
        <w:t>，</w:t>
      </w:r>
      <w:r>
        <w:rPr>
          <w:rFonts w:ascii="Times New Roman" w:hAnsi="Times New Roman" w:eastAsia="DFKai-SB"/>
          <w:bCs/>
          <w:szCs w:val="24"/>
        </w:rPr>
        <w:t>理由為該等交易於 12 個月內與同一方或其關連方所達成</w:t>
      </w:r>
      <w:r>
        <w:rPr>
          <w:rFonts w:hint="eastAsia" w:ascii="Times New Roman" w:hAnsi="Times New Roman" w:eastAsia="DFKai-SB"/>
          <w:bCs/>
          <w:szCs w:val="24"/>
        </w:rPr>
        <w:t>，又或相關交易彼此有關連</w:t>
      </w:r>
      <w:r>
        <w:rPr>
          <w:rFonts w:ascii="Times New Roman" w:hAnsi="Times New Roman" w:eastAsia="DFKai-SB"/>
          <w:bCs/>
          <w:szCs w:val="24"/>
        </w:rPr>
        <w:t>。</w:t>
      </w:r>
    </w:p>
    <w:p>
      <w:pPr>
        <w:pStyle w:val="5"/>
        <w:snapToGrid w:val="0"/>
        <w:jc w:val="both"/>
        <w:rPr>
          <w:rFonts w:ascii="Times New Roman" w:hAnsi="Times New Roman" w:eastAsia="DFKai-SB"/>
          <w:bCs/>
          <w:szCs w:val="24"/>
        </w:rPr>
      </w:pPr>
    </w:p>
    <w:p>
      <w:pPr>
        <w:pStyle w:val="5"/>
        <w:snapToGrid w:val="0"/>
        <w:jc w:val="both"/>
        <w:rPr>
          <w:rFonts w:ascii="Times New Roman" w:hAnsi="Times New Roman" w:eastAsia="DFKai-SB"/>
          <w:bCs/>
          <w:szCs w:val="24"/>
        </w:rPr>
      </w:pPr>
      <w:r>
        <w:rPr>
          <w:rFonts w:ascii="Times New Roman" w:hAnsi="Times New Roman" w:eastAsia="DFKai-SB"/>
          <w:bCs/>
          <w:szCs w:val="24"/>
        </w:rPr>
        <w:t>由於該等建議收購事項計算之所有適用百分比率（具有上市規則賦予該詞之涵義）</w:t>
      </w:r>
      <w:r>
        <w:rPr>
          <w:rFonts w:hint="eastAsia" w:ascii="Times New Roman" w:hAnsi="Times New Roman" w:eastAsia="DFKai-SB"/>
          <w:bCs/>
          <w:szCs w:val="24"/>
          <w:lang w:eastAsia="zh-HK"/>
        </w:rPr>
        <w:t>，不論是獨立計算或與前次收購合</w:t>
      </w:r>
      <w:r>
        <w:rPr>
          <w:rFonts w:hint="eastAsia" w:ascii="Times New Roman" w:hAnsi="Times New Roman" w:eastAsia="DFKai-SB"/>
          <w:bCs/>
          <w:szCs w:val="24"/>
        </w:rPr>
        <w:t>併</w:t>
      </w:r>
      <w:r>
        <w:rPr>
          <w:rFonts w:hint="eastAsia" w:ascii="Times New Roman" w:hAnsi="Times New Roman" w:eastAsia="DFKai-SB"/>
          <w:bCs/>
          <w:szCs w:val="24"/>
          <w:lang w:eastAsia="zh-HK"/>
        </w:rPr>
        <w:t>計算，均</w:t>
      </w:r>
      <w:r>
        <w:rPr>
          <w:rFonts w:ascii="Times New Roman" w:hAnsi="Times New Roman" w:eastAsia="DFKai-SB"/>
          <w:bCs/>
          <w:szCs w:val="24"/>
        </w:rPr>
        <w:t>高於0.1%及低於5%，</w:t>
      </w:r>
      <w:r>
        <w:rPr>
          <w:rFonts w:hint="eastAsia" w:ascii="Times New Roman" w:hAnsi="Times New Roman" w:eastAsia="DFKai-SB"/>
          <w:bCs/>
          <w:szCs w:val="24"/>
          <w:lang w:eastAsia="zh-HK"/>
        </w:rPr>
        <w:t>因</w:t>
      </w:r>
      <w:r>
        <w:rPr>
          <w:rFonts w:hint="eastAsia" w:ascii="Times New Roman" w:hAnsi="Times New Roman" w:eastAsia="DFKai-SB"/>
          <w:bCs/>
          <w:szCs w:val="24"/>
        </w:rPr>
        <w:t>此</w:t>
      </w:r>
      <w:r>
        <w:rPr>
          <w:rFonts w:ascii="Times New Roman" w:hAnsi="Times New Roman" w:eastAsia="DFKai-SB"/>
          <w:bCs/>
          <w:szCs w:val="24"/>
          <w:lang w:eastAsia="zh-HK"/>
        </w:rPr>
        <w:t>萬博權益收購</w:t>
      </w:r>
      <w:r>
        <w:rPr>
          <w:rFonts w:ascii="Times New Roman" w:hAnsi="Times New Roman" w:eastAsia="DFKai-SB"/>
          <w:bCs/>
          <w:szCs w:val="24"/>
        </w:rPr>
        <w:t>須符合上市規則第14A章項下申報及公告規定，但豁免通函、獨立財務意見及獨立股東批准的要求。</w:t>
      </w:r>
    </w:p>
    <w:p>
      <w:pPr>
        <w:pStyle w:val="5"/>
        <w:snapToGrid w:val="0"/>
        <w:jc w:val="both"/>
        <w:rPr>
          <w:rFonts w:ascii="Times New Roman" w:hAnsi="Times New Roman" w:eastAsia="DFKai-SB"/>
          <w:bCs/>
          <w:szCs w:val="24"/>
        </w:rPr>
      </w:pPr>
    </w:p>
    <w:p>
      <w:pPr>
        <w:pStyle w:val="5"/>
        <w:snapToGrid w:val="0"/>
        <w:jc w:val="both"/>
        <w:rPr>
          <w:rFonts w:ascii="Times New Roman" w:hAnsi="Times New Roman" w:eastAsia="DFKai-SB"/>
          <w:b/>
          <w:szCs w:val="24"/>
        </w:rPr>
      </w:pPr>
      <w:r>
        <w:rPr>
          <w:rFonts w:hint="eastAsia" w:ascii="Times New Roman" w:hAnsi="Times New Roman" w:eastAsia="DFKai-SB"/>
          <w:b/>
          <w:szCs w:val="24"/>
        </w:rPr>
        <w:t>專業人士及同意書</w:t>
      </w:r>
    </w:p>
    <w:p>
      <w:pPr>
        <w:rPr>
          <w:rFonts w:eastAsia="DFKai-SB"/>
          <w:bCs/>
        </w:rPr>
      </w:pPr>
    </w:p>
    <w:p>
      <w:pPr>
        <w:rPr>
          <w:rFonts w:eastAsia="DFKai-SB"/>
          <w:bCs/>
        </w:rPr>
      </w:pPr>
      <w:r>
        <w:rPr>
          <w:rFonts w:hint="eastAsia" w:eastAsia="DFKai-SB"/>
          <w:bCs/>
        </w:rPr>
        <w:t>於本公告日期，估值師作為中國合資格估值師，並無於本集團成員公司的股本或股權中擁有任何</w:t>
      </w:r>
      <w:r>
        <w:rPr>
          <w:rFonts w:hint="eastAsia" w:eastAsia="DFKai-SB"/>
          <w:bCs/>
          <w:lang w:eastAsia="zh-HK"/>
        </w:rPr>
        <w:t>實益</w:t>
      </w:r>
      <w:r>
        <w:rPr>
          <w:rFonts w:hint="eastAsia" w:eastAsia="DFKai-SB"/>
          <w:bCs/>
        </w:rPr>
        <w:t>權益或任何權利（不論是否可依法強制執行）以認購或提名他人認購本集團任何成員公司證券；且其已發出（且並無撤回）同意書，同意刊發本公告、於其內文引述其名稱並於本公告載入其聲明。</w:t>
      </w:r>
    </w:p>
    <w:p>
      <w:pPr>
        <w:rPr>
          <w:rFonts w:eastAsia="DFKai-SB"/>
          <w:bCs/>
        </w:rPr>
      </w:pPr>
    </w:p>
    <w:p>
      <w:pPr>
        <w:pStyle w:val="30"/>
        <w:tabs>
          <w:tab w:val="left" w:pos="4981"/>
          <w:tab w:val="clear" w:pos="5100"/>
        </w:tabs>
        <w:spacing w:line="240" w:lineRule="auto"/>
        <w:ind w:left="110" w:right="-1710" w:firstLine="3859"/>
        <w:jc w:val="center"/>
        <w:rPr>
          <w:rFonts w:ascii="Times New Roman" w:hAnsi="Times New Roman" w:eastAsia="DFKai-SB"/>
          <w:color w:val="auto"/>
          <w:sz w:val="24"/>
          <w:szCs w:val="24"/>
          <w:lang w:eastAsia="zh-TW"/>
        </w:rPr>
      </w:pPr>
      <w:r>
        <w:rPr>
          <w:rFonts w:ascii="Times New Roman" w:hAnsi="Times New Roman" w:eastAsia="DFKai-SB"/>
          <w:color w:val="auto"/>
          <w:sz w:val="24"/>
          <w:szCs w:val="24"/>
          <w:lang w:eastAsia="zh-TW"/>
        </w:rPr>
        <w:t>承董事會命</w:t>
      </w:r>
    </w:p>
    <w:p>
      <w:pPr>
        <w:pStyle w:val="30"/>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3859"/>
        <w:jc w:val="center"/>
        <w:rPr>
          <w:rFonts w:ascii="Times New Roman" w:hAnsi="Times New Roman" w:eastAsia="DFKai-SB"/>
          <w:b/>
          <w:bCs/>
          <w:color w:val="auto"/>
          <w:sz w:val="24"/>
          <w:szCs w:val="24"/>
          <w:lang w:eastAsia="zh-TW"/>
        </w:rPr>
      </w:pPr>
      <w:r>
        <w:rPr>
          <w:rFonts w:ascii="Times New Roman" w:hAnsi="Times New Roman" w:eastAsia="DFKai-SB"/>
          <w:b/>
          <w:bCs/>
          <w:color w:val="auto"/>
          <w:sz w:val="24"/>
          <w:szCs w:val="24"/>
          <w:lang w:eastAsia="zh-TW"/>
        </w:rPr>
        <w:t>山東新華製藥股份有限公司</w:t>
      </w:r>
    </w:p>
    <w:p>
      <w:pPr>
        <w:pStyle w:val="30"/>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3859"/>
        <w:jc w:val="center"/>
        <w:rPr>
          <w:rFonts w:ascii="Times New Roman" w:hAnsi="Times New Roman" w:eastAsia="DFKai-SB"/>
          <w:b/>
          <w:bCs/>
          <w:color w:val="auto"/>
          <w:sz w:val="24"/>
          <w:szCs w:val="24"/>
          <w:lang w:eastAsia="zh-TW"/>
        </w:rPr>
      </w:pPr>
      <w:r>
        <w:rPr>
          <w:rFonts w:ascii="Times New Roman" w:hAnsi="Times New Roman" w:eastAsia="DFKai-SB"/>
          <w:b/>
          <w:bCs/>
          <w:color w:val="auto"/>
          <w:sz w:val="24"/>
          <w:szCs w:val="24"/>
          <w:lang w:eastAsia="zh-TW"/>
        </w:rPr>
        <w:t>張代銘</w:t>
      </w:r>
    </w:p>
    <w:p>
      <w:pPr>
        <w:pStyle w:val="30"/>
        <w:tabs>
          <w:tab w:val="left" w:pos="4981"/>
          <w:tab w:val="clear" w:pos="5100"/>
        </w:tabs>
        <w:spacing w:line="240" w:lineRule="auto"/>
        <w:ind w:left="110" w:right="-1710" w:firstLine="3859"/>
        <w:jc w:val="center"/>
        <w:rPr>
          <w:rFonts w:ascii="Times New Roman" w:hAnsi="Times New Roman" w:eastAsia="DFKai-SB"/>
          <w:i/>
          <w:iCs/>
          <w:color w:val="auto"/>
          <w:sz w:val="24"/>
          <w:szCs w:val="24"/>
          <w:lang w:eastAsia="zh-TW"/>
        </w:rPr>
      </w:pPr>
      <w:r>
        <w:rPr>
          <w:rFonts w:ascii="Times New Roman" w:hAnsi="Times New Roman" w:eastAsia="DFKai-SB"/>
          <w:i/>
          <w:iCs/>
          <w:color w:val="auto"/>
          <w:sz w:val="24"/>
          <w:szCs w:val="24"/>
          <w:lang w:eastAsia="zh-TW"/>
        </w:rPr>
        <w:t>董事長</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ascii="Times New Roman" w:hAnsi="Times New Roman" w:eastAsia="DFKai-SB"/>
          <w:szCs w:val="24"/>
        </w:rPr>
        <w:t>中國淄博，2020年4月</w:t>
      </w:r>
      <w:r>
        <w:rPr>
          <w:rFonts w:hint="eastAsia" w:ascii="Times New Roman" w:hAnsi="Times New Roman" w:eastAsia="DFKai-SB"/>
          <w:szCs w:val="24"/>
          <w:lang w:val="en-US" w:eastAsia="zh-CN"/>
        </w:rPr>
        <w:t>20</w:t>
      </w:r>
      <w:r>
        <w:rPr>
          <w:rFonts w:ascii="Times New Roman" w:hAnsi="Times New Roman" w:eastAsia="DFKai-SB"/>
          <w:szCs w:val="24"/>
        </w:rPr>
        <w:t xml:space="preserve"> 日</w:t>
      </w:r>
    </w:p>
    <w:p>
      <w:pPr>
        <w:snapToGrid w:val="0"/>
        <w:jc w:val="both"/>
        <w:rPr>
          <w:rFonts w:eastAsia="DFKai-SB"/>
          <w:bCs/>
        </w:rPr>
      </w:pPr>
      <w:bookmarkStart w:id="0" w:name="_GoBack"/>
      <w:bookmarkEnd w:id="0"/>
    </w:p>
    <w:p>
      <w:pPr>
        <w:snapToGrid w:val="0"/>
        <w:jc w:val="both"/>
        <w:rPr>
          <w:rFonts w:eastAsia="DFKai-SB"/>
          <w:bCs/>
        </w:rPr>
      </w:pPr>
    </w:p>
    <w:p>
      <w:pPr>
        <w:snapToGrid w:val="0"/>
        <w:jc w:val="both"/>
        <w:rPr>
          <w:rFonts w:eastAsia="DFKai-SB"/>
          <w:bCs/>
        </w:rPr>
      </w:pPr>
    </w:p>
    <w:p>
      <w:pPr>
        <w:snapToGrid w:val="0"/>
        <w:jc w:val="both"/>
        <w:rPr>
          <w:rFonts w:eastAsia="DFKai-SB"/>
          <w:bCs/>
        </w:rPr>
      </w:pPr>
    </w:p>
    <w:p>
      <w:pPr>
        <w:snapToGrid w:val="0"/>
        <w:jc w:val="both"/>
        <w:rPr>
          <w:rFonts w:eastAsia="DFKai-SB"/>
          <w:bCs/>
        </w:rPr>
      </w:pPr>
    </w:p>
    <w:p>
      <w:pPr>
        <w:snapToGrid w:val="0"/>
        <w:jc w:val="both"/>
        <w:rPr>
          <w:rFonts w:eastAsia="DFKai-SB"/>
          <w:color w:val="231F20"/>
          <w:spacing w:val="4"/>
        </w:rPr>
      </w:pPr>
      <w:r>
        <w:rPr>
          <w:rFonts w:eastAsia="DFKai-SB"/>
          <w:color w:val="231F20"/>
          <w:spacing w:val="4"/>
        </w:rPr>
        <w:t xml:space="preserve">於本公告日期，本公司董事會由下列董事組成： </w:t>
      </w:r>
    </w:p>
    <w:p>
      <w:pPr>
        <w:snapToGrid w:val="0"/>
        <w:ind w:left="110"/>
        <w:jc w:val="both"/>
        <w:rPr>
          <w:rFonts w:eastAsia="DFKai-SB"/>
          <w:color w:val="231F20"/>
          <w:spacing w:val="4"/>
        </w:rPr>
      </w:pPr>
    </w:p>
    <w:tbl>
      <w:tblPr>
        <w:tblStyle w:val="14"/>
        <w:tblW w:w="8696" w:type="dxa"/>
        <w:tblInd w:w="0" w:type="dxa"/>
        <w:tblLayout w:type="fixed"/>
        <w:tblCellMar>
          <w:top w:w="0" w:type="dxa"/>
          <w:left w:w="28" w:type="dxa"/>
          <w:bottom w:w="0" w:type="dxa"/>
          <w:right w:w="28" w:type="dxa"/>
        </w:tblCellMar>
      </w:tblPr>
      <w:tblGrid>
        <w:gridCol w:w="4348"/>
        <w:gridCol w:w="4348"/>
      </w:tblGrid>
      <w:tr>
        <w:tblPrEx>
          <w:tblLayout w:type="fixed"/>
          <w:tblCellMar>
            <w:top w:w="0" w:type="dxa"/>
            <w:left w:w="28" w:type="dxa"/>
            <w:bottom w:w="0" w:type="dxa"/>
            <w:right w:w="28" w:type="dxa"/>
          </w:tblCellMar>
        </w:tblPrEx>
        <w:tc>
          <w:tcPr>
            <w:tcW w:w="4348" w:type="dxa"/>
          </w:tcPr>
          <w:p>
            <w:pPr>
              <w:snapToGrid w:val="0"/>
              <w:ind w:left="110"/>
              <w:jc w:val="both"/>
              <w:rPr>
                <w:rFonts w:eastAsia="DFKai-SB"/>
                <w:color w:val="231F20"/>
                <w:spacing w:val="4"/>
                <w:u w:val="single"/>
              </w:rPr>
            </w:pPr>
            <w:r>
              <w:rPr>
                <w:rFonts w:eastAsia="DFKai-SB"/>
                <w:color w:val="231F20"/>
                <w:spacing w:val="4"/>
                <w:u w:val="single"/>
              </w:rPr>
              <w:t>執行董事：</w:t>
            </w:r>
          </w:p>
          <w:p>
            <w:pPr>
              <w:snapToGrid w:val="0"/>
              <w:ind w:left="110"/>
              <w:jc w:val="both"/>
              <w:rPr>
                <w:rFonts w:eastAsia="DFKai-SB"/>
                <w:color w:val="231F20"/>
                <w:spacing w:val="4"/>
              </w:rPr>
            </w:pPr>
            <w:r>
              <w:rPr>
                <w:rFonts w:eastAsia="DFKai-SB"/>
                <w:color w:val="231F20"/>
                <w:spacing w:val="4"/>
              </w:rPr>
              <w:t>張代銘先生（董事長）</w:t>
            </w:r>
          </w:p>
          <w:p>
            <w:pPr>
              <w:snapToGrid w:val="0"/>
              <w:ind w:left="110"/>
              <w:jc w:val="both"/>
              <w:rPr>
                <w:rFonts w:eastAsia="DFKai-SB"/>
                <w:color w:val="231F20"/>
                <w:spacing w:val="4"/>
              </w:rPr>
            </w:pPr>
            <w:r>
              <w:rPr>
                <w:rFonts w:eastAsia="DFKai-SB"/>
                <w:color w:val="231F20"/>
                <w:spacing w:val="4"/>
              </w:rPr>
              <w:t>杜德平先生</w:t>
            </w:r>
          </w:p>
          <w:p>
            <w:pPr>
              <w:snapToGrid w:val="0"/>
              <w:ind w:left="110"/>
              <w:jc w:val="both"/>
              <w:rPr>
                <w:rFonts w:eastAsia="DFKai-SB"/>
                <w:color w:val="231F20"/>
                <w:spacing w:val="4"/>
              </w:rPr>
            </w:pPr>
          </w:p>
        </w:tc>
        <w:tc>
          <w:tcPr>
            <w:tcW w:w="4348" w:type="dxa"/>
          </w:tcPr>
          <w:p>
            <w:pPr>
              <w:snapToGrid w:val="0"/>
              <w:ind w:left="110"/>
              <w:jc w:val="both"/>
              <w:rPr>
                <w:rFonts w:eastAsia="DFKai-SB"/>
                <w:color w:val="231F20"/>
                <w:spacing w:val="4"/>
                <w:u w:val="single"/>
              </w:rPr>
            </w:pPr>
            <w:r>
              <w:rPr>
                <w:rFonts w:eastAsia="DFKai-SB"/>
                <w:color w:val="231F20"/>
                <w:spacing w:val="4"/>
                <w:u w:val="single"/>
              </w:rPr>
              <w:t>獨立非執行董事：</w:t>
            </w:r>
          </w:p>
          <w:p>
            <w:pPr>
              <w:snapToGrid w:val="0"/>
              <w:ind w:left="110"/>
              <w:jc w:val="both"/>
              <w:rPr>
                <w:rFonts w:eastAsia="DFKai-SB"/>
                <w:color w:val="231F20"/>
                <w:spacing w:val="4"/>
              </w:rPr>
            </w:pPr>
            <w:r>
              <w:rPr>
                <w:rFonts w:eastAsia="DFKai-SB"/>
                <w:color w:val="231F20"/>
                <w:spacing w:val="4"/>
              </w:rPr>
              <w:t>李文明先生</w:t>
            </w:r>
          </w:p>
          <w:p>
            <w:pPr>
              <w:snapToGrid w:val="0"/>
              <w:ind w:left="110"/>
              <w:jc w:val="both"/>
              <w:rPr>
                <w:rFonts w:eastAsia="DFKai-SB"/>
                <w:color w:val="231F20"/>
                <w:spacing w:val="4"/>
              </w:rPr>
            </w:pPr>
            <w:r>
              <w:rPr>
                <w:rFonts w:eastAsia="DFKai-SB"/>
                <w:color w:val="231F20"/>
                <w:spacing w:val="4"/>
              </w:rPr>
              <w:t>杜冠華先生</w:t>
            </w:r>
          </w:p>
          <w:p>
            <w:pPr>
              <w:snapToGrid w:val="0"/>
              <w:ind w:left="110"/>
              <w:jc w:val="both"/>
              <w:rPr>
                <w:rFonts w:eastAsia="DFKai-SB"/>
                <w:color w:val="231F20"/>
                <w:spacing w:val="4"/>
              </w:rPr>
            </w:pPr>
            <w:r>
              <w:rPr>
                <w:rFonts w:eastAsia="DFKai-SB"/>
                <w:color w:val="231F20"/>
                <w:spacing w:val="4"/>
              </w:rPr>
              <w:t>盧華威先生</w:t>
            </w:r>
          </w:p>
        </w:tc>
      </w:tr>
      <w:tr>
        <w:tblPrEx>
          <w:tblLayout w:type="fixed"/>
          <w:tblCellMar>
            <w:top w:w="0" w:type="dxa"/>
            <w:left w:w="28" w:type="dxa"/>
            <w:bottom w:w="0" w:type="dxa"/>
            <w:right w:w="28" w:type="dxa"/>
          </w:tblCellMar>
        </w:tblPrEx>
        <w:tc>
          <w:tcPr>
            <w:tcW w:w="4348" w:type="dxa"/>
          </w:tcPr>
          <w:p>
            <w:pPr>
              <w:snapToGrid w:val="0"/>
              <w:ind w:left="110"/>
              <w:jc w:val="both"/>
              <w:rPr>
                <w:rFonts w:eastAsia="DFKai-SB"/>
                <w:color w:val="231F20"/>
                <w:spacing w:val="4"/>
                <w:u w:val="single"/>
              </w:rPr>
            </w:pPr>
            <w:r>
              <w:rPr>
                <w:rFonts w:eastAsia="DFKai-SB"/>
                <w:color w:val="231F20"/>
                <w:spacing w:val="4"/>
                <w:u w:val="single"/>
              </w:rPr>
              <w:t>非執行董事：</w:t>
            </w:r>
          </w:p>
          <w:p>
            <w:pPr>
              <w:snapToGrid w:val="0"/>
              <w:ind w:left="110"/>
              <w:jc w:val="both"/>
              <w:rPr>
                <w:rFonts w:eastAsia="DFKai-SB"/>
                <w:color w:val="231F20"/>
                <w:spacing w:val="4"/>
              </w:rPr>
            </w:pPr>
            <w:r>
              <w:rPr>
                <w:rFonts w:eastAsia="DFKai-SB"/>
                <w:color w:val="231F20"/>
                <w:spacing w:val="4"/>
              </w:rPr>
              <w:t>任福龍先生</w:t>
            </w:r>
          </w:p>
          <w:p>
            <w:pPr>
              <w:snapToGrid w:val="0"/>
              <w:ind w:left="110"/>
              <w:jc w:val="both"/>
              <w:rPr>
                <w:rFonts w:eastAsia="DFKai-SB"/>
                <w:color w:val="231F20"/>
                <w:spacing w:val="4"/>
              </w:rPr>
            </w:pPr>
            <w:r>
              <w:rPr>
                <w:rFonts w:eastAsia="DFKai-SB"/>
                <w:color w:val="231F20"/>
                <w:spacing w:val="4"/>
              </w:rPr>
              <w:t>徐列先生</w:t>
            </w:r>
          </w:p>
          <w:p>
            <w:pPr>
              <w:snapToGrid w:val="0"/>
              <w:jc w:val="both"/>
              <w:rPr>
                <w:rFonts w:eastAsia="DFKai-SB"/>
                <w:color w:val="231F20"/>
                <w:spacing w:val="4"/>
              </w:rPr>
            </w:pPr>
          </w:p>
        </w:tc>
        <w:tc>
          <w:tcPr>
            <w:tcW w:w="4348" w:type="dxa"/>
          </w:tcPr>
          <w:p>
            <w:pPr>
              <w:snapToGrid w:val="0"/>
              <w:ind w:left="110"/>
              <w:jc w:val="both"/>
              <w:rPr>
                <w:rFonts w:eastAsia="DFKai-SB"/>
                <w:color w:val="231F20"/>
                <w:spacing w:val="4"/>
              </w:rPr>
            </w:pPr>
          </w:p>
        </w:tc>
      </w:tr>
    </w:tbl>
    <w:p>
      <w:pPr>
        <w:pStyle w:val="27"/>
        <w:spacing w:line="0" w:lineRule="atLeast"/>
        <w:ind w:left="115"/>
        <w:rPr>
          <w:rFonts w:ascii="Times New Roman" w:hAnsi="Times New Roman" w:eastAsia="DFKai-SB"/>
          <w:color w:val="231F20"/>
          <w:spacing w:val="4"/>
          <w:sz w:val="24"/>
          <w:szCs w:val="24"/>
        </w:rPr>
      </w:pPr>
    </w:p>
    <w:p>
      <w:pPr>
        <w:jc w:val="center"/>
        <w:rPr>
          <w:rFonts w:eastAsia="DFKai-SB"/>
          <w:b/>
          <w:color w:val="000000"/>
        </w:rPr>
      </w:pPr>
      <w:r>
        <w:rPr>
          <w:rFonts w:eastAsia="DFKai-SB"/>
          <w:bCs/>
        </w:rPr>
        <w:br w:type="page"/>
      </w:r>
      <w:r>
        <w:rPr>
          <w:rFonts w:eastAsia="DFKai-SB"/>
          <w:b/>
          <w:color w:val="000000"/>
        </w:rPr>
        <w:t>附錄</w:t>
      </w:r>
      <w:r>
        <w:rPr>
          <w:rStyle w:val="13"/>
          <w:rFonts w:eastAsia="DFKai-SB"/>
          <w:b/>
          <w:color w:val="000000"/>
        </w:rPr>
        <w:footnoteReference w:id="0"/>
      </w:r>
    </w:p>
    <w:p>
      <w:pPr>
        <w:jc w:val="center"/>
        <w:rPr>
          <w:rFonts w:eastAsia="DFKai-SB"/>
          <w:b/>
          <w:color w:val="000000"/>
        </w:rPr>
      </w:pPr>
      <w:r>
        <w:rPr>
          <w:rFonts w:eastAsia="DFKai-SB"/>
          <w:b/>
          <w:color w:val="000000"/>
        </w:rPr>
        <w:t>節錄自評估報告:評估的主要假設基準</w:t>
      </w:r>
    </w:p>
    <w:p>
      <w:pPr>
        <w:rPr>
          <w:rFonts w:eastAsia="DFKai-SB"/>
          <w:b/>
          <w:color w:val="000000"/>
        </w:rPr>
      </w:pPr>
    </w:p>
    <w:p>
      <w:pPr>
        <w:pStyle w:val="23"/>
        <w:numPr>
          <w:ilvl w:val="0"/>
          <w:numId w:val="3"/>
        </w:numPr>
        <w:rPr>
          <w:rFonts w:eastAsia="DFKai-SB"/>
          <w:b/>
          <w:color w:val="000000"/>
        </w:rPr>
      </w:pPr>
      <w:r>
        <w:rPr>
          <w:rFonts w:eastAsia="DFKai-SB"/>
          <w:b/>
          <w:color w:val="000000"/>
        </w:rPr>
        <w:t>一般假設</w:t>
      </w:r>
    </w:p>
    <w:p>
      <w:pPr>
        <w:pStyle w:val="23"/>
        <w:ind w:left="765"/>
        <w:rPr>
          <w:rFonts w:eastAsia="DFKai-SB"/>
          <w:b/>
          <w:color w:val="000000"/>
        </w:rPr>
      </w:pPr>
    </w:p>
    <w:p>
      <w:pPr>
        <w:pStyle w:val="4"/>
        <w:numPr>
          <w:ilvl w:val="0"/>
          <w:numId w:val="4"/>
        </w:numPr>
        <w:snapToGrid w:val="0"/>
        <w:spacing w:line="360" w:lineRule="auto"/>
        <w:rPr>
          <w:rFonts w:eastAsia="DFKai-SB"/>
          <w:szCs w:val="24"/>
          <w:lang w:eastAsia="zh-TW"/>
        </w:rPr>
      </w:pPr>
      <w:r>
        <w:rPr>
          <w:rFonts w:eastAsia="DFKai-SB"/>
          <w:szCs w:val="24"/>
          <w:lang w:eastAsia="zh-TW"/>
        </w:rPr>
        <w:t>假設評估基準日後國家現行的有關法律法規及政策、國家宏觀經濟形勢無重大變化，本次交易各方所處地區的政治、經濟和社會環境無重大變化。</w:t>
      </w:r>
    </w:p>
    <w:p>
      <w:pPr>
        <w:pStyle w:val="4"/>
        <w:snapToGrid w:val="0"/>
        <w:spacing w:line="360" w:lineRule="auto"/>
        <w:ind w:left="720" w:firstLine="0"/>
        <w:rPr>
          <w:rFonts w:eastAsia="DFKai-SB"/>
          <w:szCs w:val="24"/>
          <w:lang w:eastAsia="zh-TW"/>
        </w:rPr>
      </w:pPr>
    </w:p>
    <w:p>
      <w:pPr>
        <w:pStyle w:val="4"/>
        <w:numPr>
          <w:ilvl w:val="0"/>
          <w:numId w:val="4"/>
        </w:numPr>
        <w:snapToGrid w:val="0"/>
        <w:spacing w:line="360" w:lineRule="auto"/>
        <w:rPr>
          <w:rFonts w:eastAsia="DFKai-SB"/>
          <w:szCs w:val="24"/>
          <w:lang w:eastAsia="zh-TW"/>
        </w:rPr>
      </w:pPr>
      <w:r>
        <w:rPr>
          <w:rFonts w:eastAsia="DFKai-SB"/>
          <w:szCs w:val="24"/>
          <w:lang w:eastAsia="zh-TW"/>
        </w:rPr>
        <w:t>假設評估基準日後被評估單位持續經營。</w:t>
      </w:r>
    </w:p>
    <w:p>
      <w:pPr>
        <w:pStyle w:val="4"/>
        <w:snapToGrid w:val="0"/>
        <w:spacing w:line="360" w:lineRule="auto"/>
        <w:ind w:firstLine="0"/>
        <w:rPr>
          <w:rFonts w:eastAsia="DFKai-SB"/>
          <w:szCs w:val="24"/>
          <w:lang w:eastAsia="zh-TW"/>
        </w:rPr>
      </w:pPr>
    </w:p>
    <w:p>
      <w:pPr>
        <w:pStyle w:val="4"/>
        <w:numPr>
          <w:ilvl w:val="0"/>
          <w:numId w:val="4"/>
        </w:numPr>
        <w:snapToGrid w:val="0"/>
        <w:spacing w:line="360" w:lineRule="auto"/>
        <w:rPr>
          <w:rFonts w:eastAsia="DFKai-SB"/>
          <w:szCs w:val="24"/>
          <w:lang w:eastAsia="zh-TW"/>
        </w:rPr>
      </w:pPr>
      <w:r>
        <w:rPr>
          <w:rFonts w:eastAsia="DFKai-SB"/>
          <w:szCs w:val="24"/>
          <w:lang w:eastAsia="zh-TW"/>
        </w:rPr>
        <w:t>假設評估基準日後被評估單位的管理層是負責的、穩定的，且有能力擔當其職務。</w:t>
      </w:r>
    </w:p>
    <w:p>
      <w:pPr>
        <w:pStyle w:val="4"/>
        <w:snapToGrid w:val="0"/>
        <w:spacing w:line="360" w:lineRule="auto"/>
        <w:ind w:firstLine="0"/>
        <w:rPr>
          <w:rFonts w:eastAsia="DFKai-SB"/>
          <w:szCs w:val="24"/>
          <w:lang w:eastAsia="zh-TW"/>
        </w:rPr>
      </w:pPr>
    </w:p>
    <w:p>
      <w:pPr>
        <w:pStyle w:val="4"/>
        <w:numPr>
          <w:ilvl w:val="0"/>
          <w:numId w:val="4"/>
        </w:numPr>
        <w:snapToGrid w:val="0"/>
        <w:spacing w:line="360" w:lineRule="auto"/>
        <w:rPr>
          <w:rFonts w:eastAsia="DFKai-SB"/>
          <w:szCs w:val="24"/>
          <w:lang w:eastAsia="zh-TW"/>
        </w:rPr>
      </w:pPr>
      <w:r>
        <w:rPr>
          <w:rFonts w:eastAsia="DFKai-SB"/>
          <w:szCs w:val="24"/>
          <w:lang w:eastAsia="zh-TW"/>
        </w:rPr>
        <w:t>假設被評估單位完全遵守所有有關的法律法規。</w:t>
      </w:r>
    </w:p>
    <w:p>
      <w:pPr>
        <w:pStyle w:val="4"/>
        <w:snapToGrid w:val="0"/>
        <w:spacing w:line="360" w:lineRule="auto"/>
        <w:ind w:firstLine="0"/>
        <w:rPr>
          <w:rFonts w:eastAsia="DFKai-SB"/>
          <w:szCs w:val="24"/>
          <w:lang w:eastAsia="zh-TW"/>
        </w:rPr>
      </w:pPr>
    </w:p>
    <w:p>
      <w:pPr>
        <w:pStyle w:val="4"/>
        <w:numPr>
          <w:ilvl w:val="0"/>
          <w:numId w:val="4"/>
        </w:numPr>
        <w:snapToGrid w:val="0"/>
        <w:spacing w:line="360" w:lineRule="auto"/>
        <w:rPr>
          <w:rFonts w:eastAsia="DFKai-SB"/>
          <w:szCs w:val="24"/>
          <w:lang w:eastAsia="zh-TW"/>
        </w:rPr>
      </w:pPr>
      <w:r>
        <w:rPr>
          <w:rFonts w:eastAsia="DFKai-SB"/>
          <w:szCs w:val="24"/>
          <w:lang w:eastAsia="zh-TW"/>
        </w:rPr>
        <w:t>假設評估基準日後無人力不可抗拒因素及不可預見因素對被評估單位造成重大不利影響。</w:t>
      </w:r>
    </w:p>
    <w:p>
      <w:pPr>
        <w:pStyle w:val="23"/>
        <w:rPr>
          <w:rFonts w:eastAsia="DFKai-SB"/>
        </w:rPr>
      </w:pPr>
    </w:p>
    <w:p>
      <w:pPr>
        <w:pStyle w:val="4"/>
        <w:numPr>
          <w:ilvl w:val="1"/>
          <w:numId w:val="5"/>
        </w:numPr>
        <w:snapToGrid w:val="0"/>
        <w:spacing w:line="360" w:lineRule="auto"/>
        <w:ind w:left="851" w:hanging="851"/>
        <w:rPr>
          <w:rFonts w:eastAsia="DFKai-SB"/>
          <w:b/>
          <w:szCs w:val="24"/>
          <w:lang w:eastAsia="zh-TW"/>
        </w:rPr>
      </w:pPr>
      <w:r>
        <w:rPr>
          <w:rFonts w:eastAsia="DFKai-SB"/>
          <w:b/>
          <w:szCs w:val="24"/>
          <w:lang w:eastAsia="zh-TW"/>
        </w:rPr>
        <w:t>特殊假設</w:t>
      </w:r>
    </w:p>
    <w:p>
      <w:pPr>
        <w:pStyle w:val="4"/>
        <w:numPr>
          <w:ilvl w:val="0"/>
          <w:numId w:val="6"/>
        </w:numPr>
        <w:snapToGrid w:val="0"/>
        <w:spacing w:line="360" w:lineRule="auto"/>
        <w:rPr>
          <w:rFonts w:eastAsia="DFKai-SB"/>
          <w:b/>
          <w:szCs w:val="24"/>
          <w:lang w:eastAsia="zh-TW"/>
        </w:rPr>
      </w:pPr>
      <w:r>
        <w:rPr>
          <w:rFonts w:eastAsia="DFKai-SB"/>
          <w:szCs w:val="24"/>
          <w:lang w:eastAsia="zh-TW"/>
        </w:rPr>
        <w:t>假設評估基準日後被評估單位在現有管理方</w:t>
      </w:r>
      <w:r>
        <w:rPr>
          <w:rFonts w:eastAsia="DFKai-SB"/>
          <w:szCs w:val="24"/>
          <w:lang w:eastAsia="zh-HK"/>
        </w:rPr>
        <w:t>式</w:t>
      </w:r>
      <w:r>
        <w:rPr>
          <w:rFonts w:eastAsia="DFKai-SB"/>
          <w:szCs w:val="24"/>
          <w:lang w:eastAsia="zh-TW"/>
        </w:rPr>
        <w:t>和管理水平的基礎上，經營範圍、方式與目前方向保持一致。</w:t>
      </w:r>
    </w:p>
    <w:p>
      <w:pPr>
        <w:pStyle w:val="4"/>
        <w:snapToGrid w:val="0"/>
        <w:spacing w:line="360" w:lineRule="auto"/>
        <w:ind w:left="360" w:firstLine="0"/>
        <w:rPr>
          <w:rFonts w:eastAsia="DFKai-SB"/>
          <w:b/>
          <w:szCs w:val="24"/>
          <w:lang w:eastAsia="zh-TW"/>
        </w:rPr>
      </w:pPr>
    </w:p>
    <w:p>
      <w:pPr>
        <w:pStyle w:val="4"/>
        <w:numPr>
          <w:ilvl w:val="0"/>
          <w:numId w:val="6"/>
        </w:numPr>
        <w:snapToGrid w:val="0"/>
        <w:spacing w:line="360" w:lineRule="auto"/>
        <w:rPr>
          <w:rFonts w:eastAsia="DFKai-SB"/>
          <w:b/>
          <w:szCs w:val="24"/>
          <w:lang w:eastAsia="zh-TW"/>
        </w:rPr>
      </w:pPr>
      <w:r>
        <w:rPr>
          <w:rFonts w:eastAsia="DFKai-SB"/>
          <w:szCs w:val="24"/>
          <w:lang w:eastAsia="zh-TW"/>
        </w:rPr>
        <w:t>假設評估基準日後被評估單位採用的會計政策和編寫此份報告時所採用的會計政策在重要方面保持一致。</w:t>
      </w:r>
    </w:p>
    <w:p>
      <w:pPr>
        <w:pStyle w:val="4"/>
        <w:snapToGrid w:val="0"/>
        <w:spacing w:line="360" w:lineRule="auto"/>
        <w:ind w:firstLine="0"/>
        <w:rPr>
          <w:rFonts w:eastAsia="DFKai-SB"/>
          <w:b/>
          <w:szCs w:val="24"/>
          <w:lang w:eastAsia="zh-TW"/>
        </w:rPr>
      </w:pPr>
    </w:p>
    <w:p>
      <w:pPr>
        <w:pStyle w:val="4"/>
        <w:numPr>
          <w:ilvl w:val="0"/>
          <w:numId w:val="6"/>
        </w:numPr>
        <w:snapToGrid w:val="0"/>
        <w:spacing w:line="360" w:lineRule="auto"/>
        <w:rPr>
          <w:rFonts w:eastAsia="DFKai-SB"/>
          <w:b/>
          <w:szCs w:val="24"/>
          <w:lang w:eastAsia="zh-TW"/>
        </w:rPr>
      </w:pPr>
      <w:r>
        <w:rPr>
          <w:rFonts w:eastAsia="DFKai-SB"/>
          <w:szCs w:val="24"/>
          <w:lang w:eastAsia="zh-TW"/>
        </w:rPr>
        <w:t>假設被評估單位相關的利率、匯率、賦稅基準及稅率、政策性徵收費用等評估基準日後不發生重大變化。</w:t>
      </w:r>
    </w:p>
    <w:p>
      <w:pPr>
        <w:pStyle w:val="24"/>
        <w:rPr>
          <w:rFonts w:eastAsia="DFKai-SB"/>
          <w:b/>
        </w:rPr>
      </w:pPr>
    </w:p>
    <w:p>
      <w:pPr>
        <w:pStyle w:val="4"/>
        <w:numPr>
          <w:ilvl w:val="0"/>
          <w:numId w:val="6"/>
        </w:numPr>
        <w:snapToGrid w:val="0"/>
        <w:spacing w:line="360" w:lineRule="auto"/>
        <w:rPr>
          <w:rFonts w:eastAsia="DFKai-SB"/>
          <w:b/>
          <w:szCs w:val="24"/>
          <w:lang w:eastAsia="zh-TW"/>
        </w:rPr>
      </w:pPr>
      <w:r>
        <w:rPr>
          <w:rFonts w:eastAsia="DFKai-SB"/>
          <w:szCs w:val="24"/>
          <w:lang w:eastAsia="zh-TW"/>
        </w:rPr>
        <w:t>假設被評估單位於年度內均勻獲得淨現金流。</w:t>
      </w:r>
    </w:p>
    <w:p>
      <w:pPr>
        <w:pStyle w:val="24"/>
        <w:rPr>
          <w:rFonts w:eastAsia="DFKai-SB"/>
          <w:b/>
        </w:rPr>
      </w:pPr>
    </w:p>
    <w:p>
      <w:pPr>
        <w:pStyle w:val="4"/>
        <w:numPr>
          <w:ilvl w:val="0"/>
          <w:numId w:val="6"/>
        </w:numPr>
        <w:snapToGrid w:val="0"/>
        <w:spacing w:line="360" w:lineRule="auto"/>
        <w:rPr>
          <w:rFonts w:eastAsia="DFKai-SB"/>
          <w:b/>
          <w:szCs w:val="24"/>
          <w:lang w:eastAsia="zh-TW"/>
        </w:rPr>
      </w:pPr>
      <w:r>
        <w:rPr>
          <w:rFonts w:eastAsia="DFKai-SB"/>
          <w:szCs w:val="24"/>
          <w:lang w:eastAsia="zh-TW"/>
        </w:rPr>
        <w:t>假設評估基準日後被評估單位的產品或服務保持目前的市場競爭態勢。</w:t>
      </w:r>
    </w:p>
    <w:p>
      <w:pPr>
        <w:pStyle w:val="24"/>
        <w:rPr>
          <w:rFonts w:eastAsia="DFKai-SB"/>
          <w:b/>
        </w:rPr>
      </w:pPr>
    </w:p>
    <w:p>
      <w:pPr>
        <w:pStyle w:val="4"/>
        <w:numPr>
          <w:ilvl w:val="0"/>
          <w:numId w:val="6"/>
        </w:numPr>
        <w:snapToGrid w:val="0"/>
        <w:spacing w:line="360" w:lineRule="auto"/>
        <w:rPr>
          <w:rFonts w:eastAsia="DFKai-SB"/>
          <w:b/>
          <w:szCs w:val="24"/>
          <w:lang w:eastAsia="zh-TW"/>
        </w:rPr>
      </w:pPr>
      <w:r>
        <w:rPr>
          <w:rFonts w:eastAsia="DFKai-SB"/>
          <w:bCs/>
          <w:szCs w:val="24"/>
          <w:lang w:eastAsia="zh-TW"/>
        </w:rPr>
        <w:t>假設評估基準日後被評估單位的研發能力和技術先進</w:t>
      </w:r>
      <w:r>
        <w:rPr>
          <w:rFonts w:eastAsia="DFKai-SB"/>
          <w:bCs/>
          <w:szCs w:val="24"/>
          <w:lang w:eastAsia="zh-HK"/>
        </w:rPr>
        <w:t>性</w:t>
      </w:r>
      <w:r>
        <w:rPr>
          <w:rFonts w:eastAsia="DFKai-SB"/>
          <w:bCs/>
          <w:szCs w:val="24"/>
          <w:lang w:eastAsia="zh-TW"/>
        </w:rPr>
        <w:t>保持目前的水平。</w:t>
      </w:r>
    </w:p>
    <w:p>
      <w:pPr>
        <w:pStyle w:val="24"/>
        <w:rPr>
          <w:rFonts w:eastAsia="DFKai-SB"/>
          <w:b/>
        </w:rPr>
      </w:pPr>
    </w:p>
    <w:p>
      <w:pPr>
        <w:pStyle w:val="4"/>
        <w:numPr>
          <w:ilvl w:val="0"/>
          <w:numId w:val="6"/>
        </w:numPr>
        <w:snapToGrid w:val="0"/>
        <w:spacing w:line="360" w:lineRule="auto"/>
        <w:rPr>
          <w:rFonts w:eastAsia="DFKai-SB"/>
          <w:b/>
          <w:szCs w:val="24"/>
          <w:lang w:eastAsia="zh-TW"/>
        </w:rPr>
      </w:pPr>
      <w:r>
        <w:rPr>
          <w:rFonts w:eastAsia="DFKai-SB"/>
          <w:bCs/>
          <w:szCs w:val="24"/>
          <w:lang w:eastAsia="zh-TW"/>
        </w:rPr>
        <w:t>假設被評估單位已簽租約合法、有效；已簽租約實際履行，不會改變和無故終止；已出租建築物的經營狀態不會發生重大改變。</w:t>
      </w:r>
    </w:p>
    <w:p>
      <w:pPr>
        <w:pStyle w:val="24"/>
        <w:rPr>
          <w:rFonts w:eastAsia="DFKai-SB"/>
          <w:b/>
        </w:rPr>
      </w:pPr>
    </w:p>
    <w:p>
      <w:pPr>
        <w:pStyle w:val="4"/>
        <w:numPr>
          <w:ilvl w:val="0"/>
          <w:numId w:val="6"/>
        </w:numPr>
        <w:snapToGrid w:val="0"/>
        <w:spacing w:line="360" w:lineRule="auto"/>
        <w:rPr>
          <w:rFonts w:eastAsia="DFKai-SB"/>
          <w:b/>
          <w:szCs w:val="24"/>
          <w:lang w:eastAsia="zh-TW"/>
        </w:rPr>
      </w:pPr>
      <w:r>
        <w:rPr>
          <w:rFonts w:eastAsia="DFKai-SB"/>
          <w:bCs/>
          <w:szCs w:val="24"/>
          <w:lang w:eastAsia="zh-TW"/>
        </w:rPr>
        <w:t>資產評估專業人員未對各種設備在評估基準日時的技術參數和性能做技術檢測，在假定委託人提供的有關技術資料和運行</w:t>
      </w:r>
      <w:r>
        <w:rPr>
          <w:rFonts w:eastAsia="DFKai-SB"/>
          <w:bCs/>
          <w:szCs w:val="24"/>
          <w:lang w:eastAsia="zh-HK"/>
        </w:rPr>
        <w:t>記</w:t>
      </w:r>
      <w:r>
        <w:rPr>
          <w:rFonts w:eastAsia="DFKai-SB"/>
          <w:bCs/>
          <w:szCs w:val="24"/>
          <w:lang w:eastAsia="zh-TW"/>
        </w:rPr>
        <w:t>錄是真實有效的前提下，通過實地勘</w:t>
      </w:r>
      <w:r>
        <w:rPr>
          <w:rFonts w:eastAsia="DFKai-SB"/>
          <w:bCs/>
          <w:szCs w:val="24"/>
          <w:lang w:eastAsia="zh-HK"/>
        </w:rPr>
        <w:t>察</w:t>
      </w:r>
      <w:r>
        <w:rPr>
          <w:rFonts w:eastAsia="DFKai-SB"/>
          <w:bCs/>
          <w:szCs w:val="24"/>
          <w:lang w:eastAsia="zh-TW"/>
        </w:rPr>
        <w:t>作出的判斷。</w:t>
      </w:r>
    </w:p>
    <w:p>
      <w:pPr>
        <w:pStyle w:val="24"/>
        <w:rPr>
          <w:rFonts w:eastAsia="DFKai-SB"/>
          <w:bCs/>
        </w:rPr>
      </w:pPr>
    </w:p>
    <w:p>
      <w:pPr>
        <w:pStyle w:val="4"/>
        <w:numPr>
          <w:ilvl w:val="0"/>
          <w:numId w:val="6"/>
        </w:numPr>
        <w:snapToGrid w:val="0"/>
        <w:spacing w:line="360" w:lineRule="auto"/>
        <w:rPr>
          <w:rFonts w:eastAsia="DFKai-SB"/>
          <w:b/>
          <w:szCs w:val="24"/>
          <w:lang w:eastAsia="zh-TW"/>
        </w:rPr>
      </w:pPr>
      <w:r>
        <w:rPr>
          <w:rFonts w:eastAsia="DFKai-SB"/>
          <w:bCs/>
          <w:szCs w:val="24"/>
          <w:lang w:eastAsia="zh-TW"/>
        </w:rPr>
        <w:t>資產評估專業人員對評估對象的現場勘查僅限於評估對象的外觀和使用狀況，並未對結構等內在質量進行測試，故不能確定其有無內在缺陷。本報告以評估對象內在質量符合國家有關標準並足以維持其正常使用為假設前提。</w:t>
      </w:r>
    </w:p>
    <w:p>
      <w:pPr>
        <w:rPr>
          <w:rFonts w:eastAsia="DFKai-SB"/>
        </w:rPr>
      </w:pPr>
    </w:p>
    <w:sectPr>
      <w:headerReference r:id="rId4" w:type="default"/>
      <w:footerReference r:id="rId5"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imes">
    <w:altName w:val="Times New Roman"/>
    <w:panose1 w:val="02020603050405020304"/>
    <w:charset w:val="00"/>
    <w:family w:val="roman"/>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16"/>
      </w:rPr>
    </w:pPr>
    <w:r>
      <w:rPr>
        <w:sz w:val="16"/>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3175"/>
              <wp:wrapNone/>
              <wp:docPr id="1" name="文本框 2"/>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RY/VtEAAAAC&#10;AQAADwAAAAAAAAABACAAAAAiAAAAZHJzL2Rvd25yZXYueG1sUEsBAhQAFAAAAAgAh07iQJZpZb7q&#10;AQAAqQMAAA4AAAAAAAAAAQAgAAAAIAEAAGRycy9lMm9Eb2MueG1sUEsFBgAAAAAGAAYAWQEAAHwF&#10;AAAAAA==&#10;">
              <v:fill on="f" focussize="0,0"/>
              <v:stroke on="f"/>
              <v:imagedata o:title=""/>
              <o:lock v:ext="edit" aspectratio="f"/>
              <v:textbox inset="0mm,0mm,0mm,0mm" style="mso-fit-shape-to-text:t;">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rect>
          </w:pict>
        </mc:Fallback>
      </mc:AlternateContent>
    </w:r>
  </w:p>
  <w:p>
    <w:pPr>
      <w:pStyle w:val="7"/>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rPr>
          <w:rFonts w:ascii="DFKai-SB" w:hAnsi="DFKai-SB" w:eastAsia="DFKai-SB"/>
          <w:i/>
        </w:rPr>
      </w:pPr>
      <w:r>
        <w:rPr>
          <w:rStyle w:val="13"/>
          <w:rFonts w:ascii="DFKai-SB" w:hAnsi="DFKai-SB" w:eastAsia="DFKai-SB"/>
          <w:i/>
        </w:rPr>
        <w:footnoteRef/>
      </w:r>
      <w:r>
        <w:rPr>
          <w:rFonts w:ascii="DFKai-SB" w:hAnsi="DFKai-SB" w:eastAsia="DFKai-SB"/>
          <w:i/>
        </w:rPr>
        <w:t xml:space="preserve"> </w:t>
      </w:r>
      <w:r>
        <w:rPr>
          <w:rFonts w:hint="eastAsia" w:ascii="DFKai-SB" w:hAnsi="DFKai-SB" w:eastAsia="DFKai-SB"/>
          <w:i/>
        </w:rPr>
        <w:t>註: 除非文義另有定義, 本附錄中「公司」或「企業」均指稱萬博化工</w:t>
      </w:r>
      <w:r>
        <w:rPr>
          <w:rFonts w:eastAsia="DFKai-SB"/>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BE8"/>
    <w:multiLevelType w:val="multilevel"/>
    <w:tmpl w:val="0FD33BE8"/>
    <w:lvl w:ilvl="0" w:tentative="0">
      <w:start w:val="1"/>
      <w:numFmt w:val="lowerLetter"/>
      <w:lvlText w:val="(%1)"/>
      <w:lvlJc w:val="left"/>
      <w:pPr>
        <w:ind w:left="709" w:hanging="720"/>
      </w:pPr>
      <w:rPr>
        <w:rFonts w:hint="default" w:ascii="Times New Roman" w:hAnsi="Times New Roman" w:eastAsia="DengXian" w:cs="Times New Roman"/>
      </w:rPr>
    </w:lvl>
    <w:lvl w:ilvl="1" w:tentative="0">
      <w:start w:val="1"/>
      <w:numFmt w:val="lowerLetter"/>
      <w:lvlText w:val="%2."/>
      <w:lvlJc w:val="left"/>
      <w:pPr>
        <w:ind w:left="1069" w:hanging="360"/>
      </w:pPr>
    </w:lvl>
    <w:lvl w:ilvl="2" w:tentative="0">
      <w:start w:val="1"/>
      <w:numFmt w:val="lowerRoman"/>
      <w:lvlText w:val="%3."/>
      <w:lvlJc w:val="right"/>
      <w:pPr>
        <w:ind w:left="1789" w:hanging="180"/>
      </w:pPr>
    </w:lvl>
    <w:lvl w:ilvl="3" w:tentative="0">
      <w:start w:val="1"/>
      <w:numFmt w:val="decimal"/>
      <w:lvlText w:val="%4."/>
      <w:lvlJc w:val="left"/>
      <w:pPr>
        <w:ind w:left="2509" w:hanging="360"/>
      </w:pPr>
    </w:lvl>
    <w:lvl w:ilvl="4" w:tentative="0">
      <w:start w:val="1"/>
      <w:numFmt w:val="lowerLetter"/>
      <w:lvlText w:val="%5."/>
      <w:lvlJc w:val="left"/>
      <w:pPr>
        <w:ind w:left="3229" w:hanging="360"/>
      </w:pPr>
    </w:lvl>
    <w:lvl w:ilvl="5" w:tentative="0">
      <w:start w:val="1"/>
      <w:numFmt w:val="lowerRoman"/>
      <w:lvlText w:val="%6."/>
      <w:lvlJc w:val="right"/>
      <w:pPr>
        <w:ind w:left="3949" w:hanging="180"/>
      </w:pPr>
    </w:lvl>
    <w:lvl w:ilvl="6" w:tentative="0">
      <w:start w:val="1"/>
      <w:numFmt w:val="decimal"/>
      <w:lvlText w:val="%7."/>
      <w:lvlJc w:val="left"/>
      <w:pPr>
        <w:ind w:left="4669" w:hanging="360"/>
      </w:pPr>
    </w:lvl>
    <w:lvl w:ilvl="7" w:tentative="0">
      <w:start w:val="1"/>
      <w:numFmt w:val="lowerLetter"/>
      <w:lvlText w:val="%8."/>
      <w:lvlJc w:val="left"/>
      <w:pPr>
        <w:ind w:left="5389" w:hanging="360"/>
      </w:pPr>
    </w:lvl>
    <w:lvl w:ilvl="8" w:tentative="0">
      <w:start w:val="1"/>
      <w:numFmt w:val="lowerRoman"/>
      <w:lvlText w:val="%9."/>
      <w:lvlJc w:val="right"/>
      <w:pPr>
        <w:ind w:left="6109" w:hanging="180"/>
      </w:pPr>
    </w:lvl>
  </w:abstractNum>
  <w:abstractNum w:abstractNumId="1">
    <w:nsid w:val="23E77DAB"/>
    <w:multiLevelType w:val="multilevel"/>
    <w:tmpl w:val="23E77DAB"/>
    <w:lvl w:ilvl="0" w:tentative="0">
      <w:start w:val="1"/>
      <w:numFmt w:val="decimal"/>
      <w:lvlText w:val="%1．"/>
      <w:lvlJc w:val="left"/>
      <w:pPr>
        <w:ind w:left="840" w:hanging="360"/>
      </w:pPr>
      <w:rPr>
        <w:rFonts w:hint="default"/>
      </w:rPr>
    </w:lvl>
    <w:lvl w:ilvl="1" w:tentative="0">
      <w:start w:val="2"/>
      <w:numFmt w:val="japaneseCounting"/>
      <w:lvlText w:val="（%2）"/>
      <w:lvlJc w:val="left"/>
      <w:pPr>
        <w:ind w:left="1965" w:hanging="765"/>
      </w:pPr>
      <w:rPr>
        <w:rFonts w:hint="default" w:eastAsia="PMingLiU"/>
      </w:rPr>
    </w:lvl>
    <w:lvl w:ilvl="2" w:tentative="0">
      <w:start w:val="1"/>
      <w:numFmt w:val="lowerRoman"/>
      <w:lvlText w:val="%3."/>
      <w:lvlJc w:val="right"/>
      <w:pPr>
        <w:ind w:left="2280" w:hanging="180"/>
      </w:pPr>
    </w:lvl>
    <w:lvl w:ilvl="3" w:tentative="0">
      <w:start w:val="1"/>
      <w:numFmt w:val="decimal"/>
      <w:lvlText w:val="%4."/>
      <w:lvlJc w:val="left"/>
      <w:pPr>
        <w:ind w:left="3000" w:hanging="360"/>
      </w:pPr>
    </w:lvl>
    <w:lvl w:ilvl="4" w:tentative="0">
      <w:start w:val="1"/>
      <w:numFmt w:val="lowerLetter"/>
      <w:lvlText w:val="%5."/>
      <w:lvlJc w:val="left"/>
      <w:pPr>
        <w:ind w:left="3720" w:hanging="360"/>
      </w:pPr>
    </w:lvl>
    <w:lvl w:ilvl="5" w:tentative="0">
      <w:start w:val="1"/>
      <w:numFmt w:val="lowerRoman"/>
      <w:lvlText w:val="%6."/>
      <w:lvlJc w:val="right"/>
      <w:pPr>
        <w:ind w:left="4440" w:hanging="180"/>
      </w:pPr>
    </w:lvl>
    <w:lvl w:ilvl="6" w:tentative="0">
      <w:start w:val="1"/>
      <w:numFmt w:val="decimal"/>
      <w:lvlText w:val="%7."/>
      <w:lvlJc w:val="left"/>
      <w:pPr>
        <w:ind w:left="5160" w:hanging="360"/>
      </w:pPr>
    </w:lvl>
    <w:lvl w:ilvl="7" w:tentative="0">
      <w:start w:val="1"/>
      <w:numFmt w:val="lowerLetter"/>
      <w:lvlText w:val="%8."/>
      <w:lvlJc w:val="left"/>
      <w:pPr>
        <w:ind w:left="5880" w:hanging="360"/>
      </w:pPr>
    </w:lvl>
    <w:lvl w:ilvl="8" w:tentative="0">
      <w:start w:val="1"/>
      <w:numFmt w:val="lowerRoman"/>
      <w:lvlText w:val="%9."/>
      <w:lvlJc w:val="right"/>
      <w:pPr>
        <w:ind w:left="6600" w:hanging="180"/>
      </w:pPr>
    </w:lvl>
  </w:abstractNum>
  <w:abstractNum w:abstractNumId="2">
    <w:nsid w:val="33021523"/>
    <w:multiLevelType w:val="multilevel"/>
    <w:tmpl w:val="33021523"/>
    <w:lvl w:ilvl="0" w:tentative="0">
      <w:start w:val="1"/>
      <w:numFmt w:val="decimal"/>
      <w:lvlText w:val="%1."/>
      <w:lvlJc w:val="left"/>
      <w:pPr>
        <w:ind w:left="720" w:hanging="360"/>
      </w:pPr>
      <w:rPr>
        <w:rFonts w:hint="default" w:ascii="Times New Roman" w:hAnsi="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C1117BD"/>
    <w:multiLevelType w:val="multilevel"/>
    <w:tmpl w:val="3C1117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EFF0907"/>
    <w:multiLevelType w:val="multilevel"/>
    <w:tmpl w:val="6EFF0907"/>
    <w:lvl w:ilvl="0" w:tentative="0">
      <w:start w:val="1"/>
      <w:numFmt w:val="lowerLetter"/>
      <w:lvlText w:val="(%1)"/>
      <w:lvlJc w:val="left"/>
      <w:pPr>
        <w:ind w:left="709" w:hanging="720"/>
      </w:pPr>
      <w:rPr>
        <w:rFonts w:hint="default" w:ascii="Times New Roman" w:hAnsi="Times New Roman" w:eastAsia="DengXian" w:cs="Times New Roman"/>
      </w:rPr>
    </w:lvl>
    <w:lvl w:ilvl="1" w:tentative="0">
      <w:start w:val="1"/>
      <w:numFmt w:val="lowerLetter"/>
      <w:lvlText w:val="%2."/>
      <w:lvlJc w:val="left"/>
      <w:pPr>
        <w:ind w:left="1069" w:hanging="360"/>
      </w:pPr>
    </w:lvl>
    <w:lvl w:ilvl="2" w:tentative="0">
      <w:start w:val="1"/>
      <w:numFmt w:val="lowerRoman"/>
      <w:lvlText w:val="%3."/>
      <w:lvlJc w:val="right"/>
      <w:pPr>
        <w:ind w:left="1789" w:hanging="180"/>
      </w:pPr>
    </w:lvl>
    <w:lvl w:ilvl="3" w:tentative="0">
      <w:start w:val="1"/>
      <w:numFmt w:val="decimal"/>
      <w:lvlText w:val="%4."/>
      <w:lvlJc w:val="left"/>
      <w:pPr>
        <w:ind w:left="2509" w:hanging="360"/>
      </w:pPr>
    </w:lvl>
    <w:lvl w:ilvl="4" w:tentative="0">
      <w:start w:val="1"/>
      <w:numFmt w:val="lowerLetter"/>
      <w:lvlText w:val="%5."/>
      <w:lvlJc w:val="left"/>
      <w:pPr>
        <w:ind w:left="3229" w:hanging="360"/>
      </w:pPr>
    </w:lvl>
    <w:lvl w:ilvl="5" w:tentative="0">
      <w:start w:val="1"/>
      <w:numFmt w:val="lowerRoman"/>
      <w:lvlText w:val="%6."/>
      <w:lvlJc w:val="right"/>
      <w:pPr>
        <w:ind w:left="3949" w:hanging="180"/>
      </w:pPr>
    </w:lvl>
    <w:lvl w:ilvl="6" w:tentative="0">
      <w:start w:val="1"/>
      <w:numFmt w:val="decimal"/>
      <w:lvlText w:val="%7."/>
      <w:lvlJc w:val="left"/>
      <w:pPr>
        <w:ind w:left="4669" w:hanging="360"/>
      </w:pPr>
    </w:lvl>
    <w:lvl w:ilvl="7" w:tentative="0">
      <w:start w:val="1"/>
      <w:numFmt w:val="lowerLetter"/>
      <w:lvlText w:val="%8."/>
      <w:lvlJc w:val="left"/>
      <w:pPr>
        <w:ind w:left="5389" w:hanging="360"/>
      </w:pPr>
    </w:lvl>
    <w:lvl w:ilvl="8" w:tentative="0">
      <w:start w:val="1"/>
      <w:numFmt w:val="lowerRoman"/>
      <w:lvlText w:val="%9."/>
      <w:lvlJc w:val="right"/>
      <w:pPr>
        <w:ind w:left="6109" w:hanging="180"/>
      </w:pPr>
    </w:lvl>
  </w:abstractNum>
  <w:abstractNum w:abstractNumId="5">
    <w:nsid w:val="7A722818"/>
    <w:multiLevelType w:val="multilevel"/>
    <w:tmpl w:val="7A722818"/>
    <w:lvl w:ilvl="0" w:tentative="0">
      <w:start w:val="1"/>
      <w:numFmt w:val="taiwaneseCountingThousand"/>
      <w:lvlText w:val="（%1）"/>
      <w:lvlJc w:val="left"/>
      <w:pPr>
        <w:ind w:left="765" w:hanging="765"/>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4AD"/>
    <w:rsid w:val="00030855"/>
    <w:rsid w:val="0006196A"/>
    <w:rsid w:val="000D0233"/>
    <w:rsid w:val="000F6DB0"/>
    <w:rsid w:val="001205DE"/>
    <w:rsid w:val="00155C4C"/>
    <w:rsid w:val="001717FC"/>
    <w:rsid w:val="00172A27"/>
    <w:rsid w:val="00177408"/>
    <w:rsid w:val="00181A63"/>
    <w:rsid w:val="001E049A"/>
    <w:rsid w:val="002002E8"/>
    <w:rsid w:val="002C183F"/>
    <w:rsid w:val="002D61D6"/>
    <w:rsid w:val="00324DE6"/>
    <w:rsid w:val="00370D7A"/>
    <w:rsid w:val="00382B05"/>
    <w:rsid w:val="00397394"/>
    <w:rsid w:val="003B65F2"/>
    <w:rsid w:val="003F7B26"/>
    <w:rsid w:val="00404474"/>
    <w:rsid w:val="00504DA2"/>
    <w:rsid w:val="005B0755"/>
    <w:rsid w:val="005E36A4"/>
    <w:rsid w:val="005E685C"/>
    <w:rsid w:val="006466D1"/>
    <w:rsid w:val="006526EC"/>
    <w:rsid w:val="00680641"/>
    <w:rsid w:val="00684D7C"/>
    <w:rsid w:val="006A72D5"/>
    <w:rsid w:val="006C7D13"/>
    <w:rsid w:val="006F788D"/>
    <w:rsid w:val="007A5446"/>
    <w:rsid w:val="007D66F9"/>
    <w:rsid w:val="00884847"/>
    <w:rsid w:val="00930C78"/>
    <w:rsid w:val="00957C5F"/>
    <w:rsid w:val="0099392A"/>
    <w:rsid w:val="009F67B4"/>
    <w:rsid w:val="00A211E1"/>
    <w:rsid w:val="00A663C1"/>
    <w:rsid w:val="00AC502E"/>
    <w:rsid w:val="00B03416"/>
    <w:rsid w:val="00B9418D"/>
    <w:rsid w:val="00B97D51"/>
    <w:rsid w:val="00BA5A17"/>
    <w:rsid w:val="00BB6CF8"/>
    <w:rsid w:val="00C023FA"/>
    <w:rsid w:val="00C129F1"/>
    <w:rsid w:val="00C1411E"/>
    <w:rsid w:val="00C26364"/>
    <w:rsid w:val="00D45B88"/>
    <w:rsid w:val="00D60E9F"/>
    <w:rsid w:val="00D668F7"/>
    <w:rsid w:val="00D6704E"/>
    <w:rsid w:val="00D92A5E"/>
    <w:rsid w:val="00D930DB"/>
    <w:rsid w:val="00DA4FD1"/>
    <w:rsid w:val="00DA7013"/>
    <w:rsid w:val="00E9104D"/>
    <w:rsid w:val="00EA770C"/>
    <w:rsid w:val="00EC4D64"/>
    <w:rsid w:val="00F531B3"/>
    <w:rsid w:val="00FB3048"/>
    <w:rsid w:val="6D795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semiHidden="0" w:name="footnote text"/>
    <w:lsdException w:uiPriority="0" w:semiHidden="0" w:name="annotation text"/>
    <w:lsdException w:qFormat="1"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semiHidden="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2"/>
    <w:unhideWhenUsed/>
    <w:qFormat/>
    <w:uiPriority w:val="99"/>
    <w:rPr>
      <w:b/>
      <w:bCs/>
    </w:rPr>
  </w:style>
  <w:style w:type="paragraph" w:styleId="3">
    <w:name w:val="annotation text"/>
    <w:basedOn w:val="1"/>
    <w:link w:val="19"/>
    <w:unhideWhenUsed/>
    <w:uiPriority w:val="0"/>
    <w:rPr>
      <w:sz w:val="20"/>
      <w:szCs w:val="20"/>
    </w:rPr>
  </w:style>
  <w:style w:type="paragraph" w:styleId="4">
    <w:name w:val="Normal Indent"/>
    <w:basedOn w:val="1"/>
    <w:link w:val="16"/>
    <w:qFormat/>
    <w:uiPriority w:val="0"/>
    <w:pPr>
      <w:adjustRightInd w:val="0"/>
      <w:spacing w:before="60" w:after="60" w:line="312" w:lineRule="atLeast"/>
      <w:ind w:firstLine="420"/>
      <w:jc w:val="both"/>
      <w:textAlignment w:val="baseline"/>
    </w:pPr>
    <w:rPr>
      <w:rFonts w:eastAsia="宋体"/>
      <w:kern w:val="0"/>
      <w:szCs w:val="20"/>
      <w:lang w:eastAsia="zh-CN"/>
    </w:rPr>
  </w:style>
  <w:style w:type="paragraph" w:styleId="5">
    <w:name w:val="Plain Text"/>
    <w:basedOn w:val="1"/>
    <w:link w:val="18"/>
    <w:semiHidden/>
    <w:uiPriority w:val="0"/>
    <w:rPr>
      <w:rFonts w:ascii="MingLiU" w:hAnsi="Courier New" w:eastAsia="MingLiU"/>
      <w:szCs w:val="22"/>
    </w:rPr>
  </w:style>
  <w:style w:type="paragraph" w:styleId="6">
    <w:name w:val="Balloon Text"/>
    <w:basedOn w:val="1"/>
    <w:link w:val="21"/>
    <w:unhideWhenUsed/>
    <w:uiPriority w:val="99"/>
    <w:rPr>
      <w:rFonts w:ascii="Segoe UI" w:hAnsi="Segoe UI" w:cs="Segoe UI"/>
      <w:sz w:val="18"/>
      <w:szCs w:val="18"/>
    </w:rPr>
  </w:style>
  <w:style w:type="paragraph" w:styleId="7">
    <w:name w:val="footer"/>
    <w:basedOn w:val="1"/>
    <w:link w:val="15"/>
    <w:unhideWhenUsed/>
    <w:uiPriority w:val="0"/>
    <w:pPr>
      <w:tabs>
        <w:tab w:val="center" w:pos="4513"/>
        <w:tab w:val="right" w:pos="9026"/>
      </w:tabs>
    </w:pPr>
  </w:style>
  <w:style w:type="paragraph" w:styleId="8">
    <w:name w:val="header"/>
    <w:basedOn w:val="1"/>
    <w:link w:val="31"/>
    <w:unhideWhenUsed/>
    <w:qFormat/>
    <w:uiPriority w:val="0"/>
    <w:pPr>
      <w:tabs>
        <w:tab w:val="center" w:pos="4680"/>
        <w:tab w:val="right" w:pos="9360"/>
      </w:tabs>
    </w:pPr>
  </w:style>
  <w:style w:type="paragraph" w:styleId="9">
    <w:name w:val="footnote text"/>
    <w:basedOn w:val="1"/>
    <w:link w:val="20"/>
    <w:unhideWhenUsed/>
    <w:uiPriority w:val="0"/>
    <w:rPr>
      <w:sz w:val="20"/>
      <w:szCs w:val="20"/>
    </w:rPr>
  </w:style>
  <w:style w:type="paragraph" w:styleId="10">
    <w:name w:val="Body Text Indent 3"/>
    <w:basedOn w:val="1"/>
    <w:link w:val="17"/>
    <w:qFormat/>
    <w:uiPriority w:val="99"/>
    <w:pPr>
      <w:spacing w:after="120"/>
      <w:ind w:left="420" w:leftChars="200"/>
      <w:jc w:val="both"/>
    </w:pPr>
    <w:rPr>
      <w:rFonts w:eastAsia="宋体"/>
      <w:sz w:val="16"/>
      <w:szCs w:val="16"/>
      <w:lang w:eastAsia="zh-CN"/>
    </w:rPr>
  </w:style>
  <w:style w:type="character" w:styleId="12">
    <w:name w:val="page number"/>
    <w:basedOn w:val="11"/>
    <w:unhideWhenUsed/>
    <w:uiPriority w:val="0"/>
  </w:style>
  <w:style w:type="character" w:styleId="13">
    <w:name w:val="footnote reference"/>
    <w:unhideWhenUsed/>
    <w:uiPriority w:val="0"/>
    <w:rPr>
      <w:vertAlign w:val="superscript"/>
    </w:rPr>
  </w:style>
  <w:style w:type="character" w:customStyle="1" w:styleId="15">
    <w:name w:val="Footer Char"/>
    <w:link w:val="7"/>
    <w:qFormat/>
    <w:uiPriority w:val="0"/>
    <w:rPr>
      <w:rFonts w:ascii="Times New Roman" w:hAnsi="Times New Roman" w:eastAsia="PMingLiU" w:cs="Times New Roman"/>
      <w:kern w:val="2"/>
      <w:sz w:val="24"/>
      <w:szCs w:val="24"/>
      <w:lang w:eastAsia="zh-TW"/>
    </w:rPr>
  </w:style>
  <w:style w:type="character" w:customStyle="1" w:styleId="16">
    <w:name w:val="Normal Indent Char"/>
    <w:link w:val="4"/>
    <w:qFormat/>
    <w:uiPriority w:val="0"/>
    <w:rPr>
      <w:sz w:val="24"/>
      <w:lang w:val="en-US"/>
    </w:rPr>
  </w:style>
  <w:style w:type="character" w:customStyle="1" w:styleId="17">
    <w:name w:val="Body Text Indent 3 Char"/>
    <w:link w:val="10"/>
    <w:uiPriority w:val="99"/>
    <w:rPr>
      <w:rFonts w:ascii="Times New Roman" w:hAnsi="Times New Roman" w:eastAsia="宋体" w:cs="Times New Roman"/>
      <w:kern w:val="2"/>
      <w:sz w:val="16"/>
      <w:szCs w:val="16"/>
      <w:lang w:eastAsia="zh-CN"/>
    </w:rPr>
  </w:style>
  <w:style w:type="character" w:customStyle="1" w:styleId="18">
    <w:name w:val="Plain Text Char"/>
    <w:link w:val="5"/>
    <w:semiHidden/>
    <w:uiPriority w:val="0"/>
    <w:rPr>
      <w:rFonts w:ascii="MingLiU" w:hAnsi="Courier New" w:eastAsia="MingLiU" w:cs="Times New Roman"/>
      <w:kern w:val="2"/>
      <w:sz w:val="24"/>
      <w:lang w:eastAsia="zh-TW"/>
    </w:rPr>
  </w:style>
  <w:style w:type="character" w:customStyle="1" w:styleId="19">
    <w:name w:val="Comment Text Char"/>
    <w:link w:val="3"/>
    <w:semiHidden/>
    <w:uiPriority w:val="0"/>
    <w:rPr>
      <w:rFonts w:eastAsia="PMingLiU"/>
      <w:kern w:val="2"/>
      <w:lang w:val="en-US" w:eastAsia="zh-TW"/>
    </w:rPr>
  </w:style>
  <w:style w:type="character" w:customStyle="1" w:styleId="20">
    <w:name w:val="Footnote Text Char"/>
    <w:link w:val="9"/>
    <w:semiHidden/>
    <w:uiPriority w:val="0"/>
    <w:rPr>
      <w:rFonts w:eastAsia="PMingLiU"/>
      <w:kern w:val="2"/>
      <w:lang w:val="en-US" w:eastAsia="zh-TW"/>
    </w:rPr>
  </w:style>
  <w:style w:type="character" w:customStyle="1" w:styleId="21">
    <w:name w:val="Balloon Text Char"/>
    <w:link w:val="6"/>
    <w:semiHidden/>
    <w:uiPriority w:val="99"/>
    <w:rPr>
      <w:rFonts w:ascii="Segoe UI" w:hAnsi="Segoe UI" w:eastAsia="PMingLiU" w:cs="Segoe UI"/>
      <w:kern w:val="2"/>
      <w:sz w:val="18"/>
      <w:szCs w:val="18"/>
      <w:lang w:eastAsia="zh-TW"/>
    </w:rPr>
  </w:style>
  <w:style w:type="character" w:customStyle="1" w:styleId="22">
    <w:name w:val="Comment Subject Char"/>
    <w:link w:val="2"/>
    <w:semiHidden/>
    <w:uiPriority w:val="99"/>
    <w:rPr>
      <w:rFonts w:eastAsia="PMingLiU"/>
      <w:b/>
      <w:bCs/>
      <w:kern w:val="2"/>
      <w:lang w:val="en-US" w:eastAsia="zh-TW"/>
    </w:rPr>
  </w:style>
  <w:style w:type="paragraph" w:customStyle="1" w:styleId="23">
    <w:name w:val="List Paragraph2"/>
    <w:basedOn w:val="1"/>
    <w:qFormat/>
    <w:uiPriority w:val="34"/>
    <w:pPr>
      <w:ind w:left="720"/>
      <w:contextualSpacing/>
    </w:pPr>
  </w:style>
  <w:style w:type="paragraph" w:customStyle="1" w:styleId="24">
    <w:name w:val="List Paragraph"/>
    <w:basedOn w:val="1"/>
    <w:qFormat/>
    <w:uiPriority w:val="34"/>
    <w:pPr>
      <w:ind w:left="720"/>
    </w:pPr>
  </w:style>
  <w:style w:type="paragraph" w:customStyle="1" w:styleId="25">
    <w:name w:val="List Paragraph1"/>
    <w:basedOn w:val="1"/>
    <w:qFormat/>
    <w:uiPriority w:val="34"/>
    <w:pPr>
      <w:ind w:left="720"/>
    </w:pPr>
  </w:style>
  <w:style w:type="paragraph" w:customStyle="1" w:styleId="26">
    <w:name w:val="Char Char Char Char"/>
    <w:basedOn w:val="1"/>
    <w:uiPriority w:val="0"/>
    <w:pPr>
      <w:widowControl/>
      <w:spacing w:after="160" w:line="240" w:lineRule="exact"/>
    </w:pPr>
    <w:rPr>
      <w:kern w:val="0"/>
      <w:sz w:val="20"/>
      <w:szCs w:val="20"/>
    </w:rPr>
  </w:style>
  <w:style w:type="paragraph" w:customStyle="1" w:styleId="27">
    <w:name w:val="Leading 12"/>
    <w:qFormat/>
    <w:uiPriority w:val="0"/>
    <w:pPr>
      <w:widowControl w:val="0"/>
      <w:tabs>
        <w:tab w:val="left" w:pos="340"/>
        <w:tab w:val="left" w:pos="680"/>
        <w:tab w:val="left" w:pos="1020"/>
        <w:tab w:val="left" w:pos="1361"/>
      </w:tabs>
      <w:autoSpaceDE w:val="0"/>
      <w:autoSpaceDN w:val="0"/>
      <w:adjustRightInd w:val="0"/>
      <w:spacing w:line="182" w:lineRule="atLeast"/>
      <w:jc w:val="both"/>
    </w:pPr>
    <w:rPr>
      <w:rFonts w:ascii="Times" w:hAnsi="Times" w:eastAsia="PMingLiU" w:cs="Times New Roman"/>
      <w:sz w:val="10"/>
      <w:szCs w:val="10"/>
      <w:lang w:val="en-US" w:eastAsia="zh-CN" w:bidi="ar-SA"/>
    </w:rPr>
  </w:style>
  <w:style w:type="paragraph" w:customStyle="1" w:styleId="28">
    <w:name w:val="題目"/>
    <w:qFormat/>
    <w:uiPriority w:val="0"/>
    <w:pPr>
      <w:jc w:val="center"/>
    </w:pPr>
    <w:rPr>
      <w:rFonts w:ascii="Times New Roman" w:hAnsi="Times New Roman" w:eastAsia="MingLiU" w:cs="Times New Roman"/>
      <w:b/>
      <w:sz w:val="36"/>
      <w:lang w:val="en-US" w:eastAsia="zh-CN" w:bidi="ar-SA"/>
    </w:rPr>
  </w:style>
  <w:style w:type="paragraph" w:customStyle="1" w:styleId="29">
    <w:name w:val="Leading 06"/>
    <w:qFormat/>
    <w:uiPriority w:val="0"/>
    <w:pPr>
      <w:widowControl w:val="0"/>
      <w:tabs>
        <w:tab w:val="left" w:pos="340"/>
        <w:tab w:val="left" w:pos="680"/>
        <w:tab w:val="left" w:pos="1020"/>
        <w:tab w:val="left" w:pos="1361"/>
      </w:tabs>
      <w:autoSpaceDE w:val="0"/>
      <w:autoSpaceDN w:val="0"/>
      <w:adjustRightInd w:val="0"/>
      <w:spacing w:line="180" w:lineRule="atLeast"/>
      <w:jc w:val="both"/>
    </w:pPr>
    <w:rPr>
      <w:rFonts w:ascii="Times" w:hAnsi="Times" w:eastAsia="PMingLiU" w:cs="Times New Roman"/>
      <w:sz w:val="10"/>
      <w:szCs w:val="10"/>
      <w:lang w:val="en-US" w:eastAsia="zh-CN" w:bidi="ar-SA"/>
    </w:rPr>
  </w:style>
  <w:style w:type="paragraph" w:customStyle="1" w:styleId="30">
    <w:name w:val="Body Text1"/>
    <w:qFormat/>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hAnsi="Times" w:eastAsia="PMingLiU" w:cs="Times New Roman"/>
      <w:color w:val="000000"/>
      <w:sz w:val="17"/>
      <w:szCs w:val="17"/>
      <w:lang w:val="en-US" w:eastAsia="zh-CN" w:bidi="ar-SA"/>
    </w:rPr>
  </w:style>
  <w:style w:type="character" w:customStyle="1" w:styleId="31">
    <w:name w:val="Header Char"/>
    <w:basedOn w:val="11"/>
    <w:link w:val="8"/>
    <w:qFormat/>
    <w:uiPriority w:val="0"/>
    <w:rPr>
      <w:rFonts w:eastAsia="PMingLiU"/>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CA7B0-15CB-4AB4-B080-623AA88C0399}">
  <ds:schemaRefs/>
</ds:datastoreItem>
</file>

<file path=docProps/app.xml><?xml version="1.0" encoding="utf-8"?>
<Properties xmlns="http://schemas.openxmlformats.org/officeDocument/2006/extended-properties" xmlns:vt="http://schemas.openxmlformats.org/officeDocument/2006/docPropsVTypes">
  <Template>Normal</Template>
  <Pages>7</Pages>
  <Words>3509</Words>
  <Characters>734</Characters>
  <Lines>6</Lines>
  <Paragraphs>8</Paragraphs>
  <ScaleCrop>false</ScaleCrop>
  <LinksUpToDate>false</LinksUpToDate>
  <CharactersWithSpaces>4235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2020-04-20T02:57:00Z</dcterms:created>
  <dc:creator>Charltons</dc:creator>
  <cp:lastModifiedBy>曹长求</cp:lastModifiedBy>
  <cp:lastPrinted>2020-04-20T02:06:00Z</cp:lastPrinted>
  <dcterms:modified xsi:type="dcterms:W3CDTF">2020-04-20T07:35:26Z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