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contextualSpacing/>
        <w:jc w:val="both"/>
        <w:rPr>
          <w:rFonts w:ascii="DFKai-SB" w:hAnsi="DFKai-SB" w:eastAsia="DFKai-SB" w:cs="Times New Roman"/>
          <w:i/>
          <w:sz w:val="21"/>
          <w:szCs w:val="21"/>
        </w:rPr>
      </w:pPr>
      <w:r>
        <w:rPr>
          <w:rFonts w:hint="eastAsia" w:ascii="DFKai-SB" w:hAnsi="DFKai-SB" w:eastAsia="DFKai-SB" w:cs="Times New Roman"/>
          <w:i/>
          <w:sz w:val="21"/>
          <w:szCs w:val="21"/>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jc w:val="both"/>
        <w:rPr>
          <w:rFonts w:ascii="DFKai-SB" w:hAnsi="DFKai-SB" w:eastAsia="DFKai-SB" w:cs="Times New Roman"/>
          <w:i/>
          <w:color w:val="000000"/>
          <w:sz w:val="22"/>
          <w:szCs w:val="22"/>
        </w:rPr>
      </w:pPr>
    </w:p>
    <w:p>
      <w:pPr>
        <w:spacing w:line="360" w:lineRule="auto"/>
        <w:jc w:val="both"/>
        <w:rPr>
          <w:rFonts w:ascii="DFKai-SB" w:hAnsi="DFKai-SB" w:eastAsia="DFKai-SB" w:cs="Times New Roman"/>
          <w:color w:val="000000"/>
          <w:sz w:val="22"/>
          <w:szCs w:val="22"/>
        </w:rPr>
      </w:pPr>
      <w:r>
        <w:rPr>
          <w:rFonts w:ascii="DFKai-SB" w:hAnsi="DFKai-SB" w:eastAsia="DFKai-SB" w:cs="Times New Roman"/>
          <w:color w:val="000000"/>
          <w:sz w:val="22"/>
          <w:szCs w:val="22"/>
          <w:lang w:eastAsia="zh-CN"/>
        </w:rPr>
        <w:drawing>
          <wp:anchor distT="0" distB="0" distL="114300" distR="114300" simplePos="0" relativeHeight="251658240" behindDoc="1" locked="0" layoutInCell="1" allowOverlap="1">
            <wp:simplePos x="0" y="0"/>
            <wp:positionH relativeFrom="column">
              <wp:posOffset>2741930</wp:posOffset>
            </wp:positionH>
            <wp:positionV relativeFrom="paragraph">
              <wp:posOffset>196215</wp:posOffset>
            </wp:positionV>
            <wp:extent cx="534035" cy="577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34035" cy="577850"/>
                    </a:xfrm>
                    <a:prstGeom prst="rect">
                      <a:avLst/>
                    </a:prstGeom>
                    <a:noFill/>
                    <a:ln>
                      <a:noFill/>
                    </a:ln>
                  </pic:spPr>
                </pic:pic>
              </a:graphicData>
            </a:graphic>
          </wp:anchor>
        </w:drawing>
      </w:r>
    </w:p>
    <w:p>
      <w:pPr>
        <w:spacing w:line="360" w:lineRule="auto"/>
        <w:jc w:val="both"/>
        <w:rPr>
          <w:rFonts w:ascii="DFKai-SB" w:hAnsi="DFKai-SB" w:eastAsia="DFKai-SB" w:cs="Times New Roman"/>
          <w:color w:val="000000"/>
          <w:sz w:val="22"/>
          <w:szCs w:val="22"/>
        </w:rPr>
      </w:pPr>
    </w:p>
    <w:p>
      <w:pPr>
        <w:spacing w:line="360" w:lineRule="auto"/>
        <w:jc w:val="both"/>
        <w:rPr>
          <w:rFonts w:ascii="DFKai-SB" w:hAnsi="DFKai-SB" w:eastAsia="DFKai-SB" w:cs="Times New Roman"/>
          <w:color w:val="000000"/>
          <w:sz w:val="22"/>
          <w:szCs w:val="22"/>
        </w:rPr>
      </w:pPr>
    </w:p>
    <w:p>
      <w:pPr>
        <w:autoSpaceDE w:val="0"/>
        <w:autoSpaceDN w:val="0"/>
        <w:adjustRightInd w:val="0"/>
        <w:spacing w:after="0" w:line="240" w:lineRule="auto"/>
        <w:contextualSpacing/>
        <w:jc w:val="center"/>
        <w:rPr>
          <w:rFonts w:ascii="DFKai-SB" w:hAnsi="DFKai-SB" w:eastAsia="DFKai-SB" w:cs="Times New Roman"/>
          <w:sz w:val="28"/>
          <w:szCs w:val="28"/>
        </w:rPr>
      </w:pPr>
      <w:r>
        <w:rPr>
          <w:rFonts w:hint="eastAsia" w:ascii="DFKai-SB" w:hAnsi="DFKai-SB" w:eastAsia="DFKai-SB" w:cs="Times New Roman"/>
          <w:sz w:val="28"/>
          <w:szCs w:val="28"/>
        </w:rPr>
        <w:t>山東新華製藥股份有限公司</w:t>
      </w:r>
    </w:p>
    <w:p>
      <w:pPr>
        <w:autoSpaceDE w:val="0"/>
        <w:autoSpaceDN w:val="0"/>
        <w:adjustRightInd w:val="0"/>
        <w:spacing w:after="0" w:line="240" w:lineRule="auto"/>
        <w:contextualSpacing/>
        <w:jc w:val="center"/>
        <w:rPr>
          <w:rFonts w:ascii="Times New Roman" w:hAnsi="Times New Roman" w:eastAsia="DFKai-SB" w:cs="Times New Roman"/>
          <w:b/>
          <w:sz w:val="28"/>
          <w:szCs w:val="28"/>
        </w:rPr>
      </w:pPr>
      <w:r>
        <w:rPr>
          <w:rFonts w:ascii="Times New Roman" w:hAnsi="Times New Roman" w:eastAsia="DFKai-SB" w:cs="Times New Roman"/>
          <w:b/>
          <w:sz w:val="28"/>
          <w:szCs w:val="28"/>
        </w:rPr>
        <w:t>Shandong Xinhua Pharmaceutical Company Limited</w:t>
      </w:r>
    </w:p>
    <w:p>
      <w:pPr>
        <w:autoSpaceDE w:val="0"/>
        <w:autoSpaceDN w:val="0"/>
        <w:adjustRightInd w:val="0"/>
        <w:spacing w:after="0" w:line="240" w:lineRule="auto"/>
        <w:contextualSpacing/>
        <w:jc w:val="center"/>
        <w:rPr>
          <w:rFonts w:ascii="DFKai-SB" w:hAnsi="DFKai-SB" w:eastAsia="DFKai-SB" w:cs="Times New Roman"/>
          <w:i/>
          <w:iCs/>
        </w:rPr>
      </w:pPr>
      <w:r>
        <w:rPr>
          <w:rFonts w:hint="eastAsia" w:ascii="DFKai-SB" w:hAnsi="DFKai-SB" w:eastAsia="DFKai-SB" w:cs="Times New Roman"/>
          <w:i/>
          <w:iCs/>
        </w:rPr>
        <w:t>（於中華人民共和國註冊成立的股份有限公司）</w:t>
      </w:r>
    </w:p>
    <w:p>
      <w:pPr>
        <w:adjustRightInd w:val="0"/>
        <w:spacing w:after="0" w:line="240" w:lineRule="auto"/>
        <w:contextualSpacing/>
        <w:jc w:val="center"/>
        <w:rPr>
          <w:rFonts w:ascii="DFKai-SB" w:hAnsi="DFKai-SB" w:eastAsia="DFKai-SB" w:cs="Times New Roman"/>
        </w:rPr>
      </w:pPr>
    </w:p>
    <w:p>
      <w:pPr>
        <w:autoSpaceDE w:val="0"/>
        <w:autoSpaceDN w:val="0"/>
        <w:adjustRightInd w:val="0"/>
        <w:spacing w:after="0" w:line="240" w:lineRule="auto"/>
        <w:contextualSpacing/>
        <w:jc w:val="center"/>
        <w:rPr>
          <w:rFonts w:ascii="DFKai-SB" w:hAnsi="DFKai-SB" w:eastAsia="DFKai-SB" w:cs="Times New Roman"/>
        </w:rPr>
      </w:pPr>
      <w:r>
        <w:rPr>
          <w:rFonts w:hint="eastAsia" w:ascii="DFKai-SB" w:hAnsi="DFKai-SB" w:eastAsia="DFKai-SB" w:cs="Times New Roman"/>
        </w:rPr>
        <w:t>（股份代碼：00719）</w:t>
      </w:r>
    </w:p>
    <w:p>
      <w:pPr>
        <w:spacing w:line="360" w:lineRule="auto"/>
        <w:jc w:val="both"/>
        <w:rPr>
          <w:rFonts w:ascii="DFKai-SB" w:hAnsi="DFKai-SB" w:eastAsia="DFKai-SB" w:cs="宋体"/>
          <w:b/>
          <w:color w:val="000000"/>
          <w:sz w:val="22"/>
          <w:szCs w:val="22"/>
        </w:rPr>
      </w:pPr>
    </w:p>
    <w:p>
      <w:pPr>
        <w:pStyle w:val="17"/>
        <w:spacing w:line="360" w:lineRule="atLeast"/>
        <w:ind w:left="720" w:hanging="11"/>
        <w:jc w:val="both"/>
        <w:rPr>
          <w:rFonts w:ascii="DFKai-SB" w:hAnsi="DFKai-SB" w:eastAsia="DFKai-SB" w:cs="宋体"/>
          <w:b/>
          <w:color w:val="000000"/>
          <w:sz w:val="22"/>
          <w:szCs w:val="22"/>
        </w:rPr>
      </w:pPr>
      <w:r>
        <w:rPr>
          <w:rFonts w:hint="eastAsia" w:ascii="DFKai-SB" w:hAnsi="DFKai-SB" w:eastAsia="DFKai-SB" w:cs="宋体"/>
          <w:b/>
          <w:color w:val="000000"/>
          <w:sz w:val="22"/>
          <w:szCs w:val="22"/>
          <w:lang w:eastAsia="zh-CN"/>
        </w:rPr>
        <w:t xml:space="preserve">                           </w:t>
      </w:r>
      <w:r>
        <w:rPr>
          <w:rFonts w:hint="eastAsia" w:ascii="DFKai-SB" w:hAnsi="DFKai-SB" w:eastAsia="DFKai-SB" w:cs="宋体"/>
          <w:b/>
          <w:color w:val="000000"/>
          <w:sz w:val="22"/>
          <w:szCs w:val="22"/>
        </w:rPr>
        <w:t>(I) 周年股東大會投票結果</w:t>
      </w:r>
    </w:p>
    <w:p>
      <w:pPr>
        <w:spacing w:line="360" w:lineRule="atLeast"/>
        <w:jc w:val="center"/>
        <w:rPr>
          <w:rFonts w:ascii="DFKai-SB" w:hAnsi="DFKai-SB" w:eastAsia="DFKai-SB" w:cs="宋体"/>
          <w:b/>
          <w:color w:val="000000"/>
          <w:sz w:val="22"/>
          <w:szCs w:val="22"/>
        </w:rPr>
      </w:pPr>
      <w:r>
        <w:rPr>
          <w:rFonts w:hint="eastAsia" w:ascii="DFKai-SB" w:hAnsi="DFKai-SB" w:eastAsia="DFKai-SB" w:cs="宋体"/>
          <w:b/>
          <w:color w:val="000000"/>
          <w:sz w:val="22"/>
          <w:szCs w:val="22"/>
          <w:lang w:eastAsia="zh-CN"/>
        </w:rPr>
        <w:t xml:space="preserve">      </w:t>
      </w:r>
      <w:r>
        <w:rPr>
          <w:rFonts w:hint="eastAsia" w:ascii="DFKai-SB" w:hAnsi="DFKai-SB" w:eastAsia="DFKai-SB" w:cs="宋体"/>
          <w:b/>
          <w:color w:val="000000"/>
          <w:sz w:val="22"/>
          <w:szCs w:val="22"/>
        </w:rPr>
        <w:t>及</w:t>
      </w:r>
    </w:p>
    <w:p>
      <w:pPr>
        <w:spacing w:line="360" w:lineRule="atLeast"/>
        <w:jc w:val="center"/>
        <w:rPr>
          <w:rFonts w:ascii="DFKai-SB" w:hAnsi="DFKai-SB" w:eastAsia="DFKai-SB" w:cs="宋体"/>
          <w:b/>
          <w:color w:val="000000"/>
          <w:sz w:val="22"/>
          <w:szCs w:val="22"/>
        </w:rPr>
      </w:pPr>
      <w:r>
        <w:rPr>
          <w:rFonts w:hint="eastAsia" w:ascii="DFKai-SB" w:hAnsi="DFKai-SB" w:eastAsia="DFKai-SB" w:cs="宋体"/>
          <w:b/>
          <w:color w:val="000000"/>
          <w:sz w:val="22"/>
          <w:szCs w:val="22"/>
          <w:lang w:eastAsia="zh-CN"/>
        </w:rPr>
        <w:t xml:space="preserve">     </w:t>
      </w:r>
      <w:r>
        <w:rPr>
          <w:rFonts w:hint="eastAsia" w:ascii="DFKai-SB" w:hAnsi="DFKai-SB" w:eastAsia="DFKai-SB" w:cs="宋体"/>
          <w:b/>
          <w:color w:val="000000"/>
          <w:sz w:val="22"/>
          <w:szCs w:val="22"/>
        </w:rPr>
        <w:t>(II) 支付201</w:t>
      </w:r>
      <w:r>
        <w:rPr>
          <w:rFonts w:ascii="DFKai-SB" w:hAnsi="DFKai-SB" w:eastAsia="DFKai-SB" w:cs="宋体"/>
          <w:b/>
          <w:color w:val="000000"/>
          <w:sz w:val="22"/>
          <w:szCs w:val="22"/>
        </w:rPr>
        <w:t>9</w:t>
      </w:r>
      <w:r>
        <w:rPr>
          <w:rFonts w:hint="eastAsia" w:ascii="DFKai-SB" w:hAnsi="DFKai-SB" w:eastAsia="DFKai-SB" w:cs="宋体"/>
          <w:b/>
          <w:color w:val="000000"/>
          <w:sz w:val="22"/>
          <w:szCs w:val="22"/>
        </w:rPr>
        <w:t>年度末期股息</w:t>
      </w:r>
    </w:p>
    <w:p>
      <w:pPr>
        <w:spacing w:line="360" w:lineRule="atLeast"/>
        <w:jc w:val="center"/>
        <w:rPr>
          <w:rFonts w:ascii="DFKai-SB" w:hAnsi="DFKai-SB" w:eastAsia="DFKai-SB" w:cs="宋体"/>
          <w:b/>
          <w:color w:val="000000"/>
          <w:sz w:val="22"/>
          <w:szCs w:val="22"/>
        </w:rPr>
      </w:pPr>
    </w:p>
    <w:p>
      <w:pPr>
        <w:jc w:val="both"/>
        <w:rPr>
          <w:rFonts w:hint="eastAsia" w:ascii="DFKai-SB" w:hAnsi="DFKai-SB" w:eastAsia="DFKai-SB" w:cs="宋体"/>
          <w:sz w:val="22"/>
          <w:szCs w:val="22"/>
        </w:rPr>
      </w:pPr>
      <w:r>
        <w:rPr>
          <w:rFonts w:hint="eastAsia" w:ascii="DFKai-SB" w:hAnsi="DFKai-SB" w:eastAsia="DFKai-SB" w:cs="宋体"/>
          <w:sz w:val="22"/>
          <w:szCs w:val="22"/>
        </w:rPr>
        <w:t>誠如日期為20</w:t>
      </w:r>
      <w:r>
        <w:rPr>
          <w:rFonts w:ascii="DFKai-SB" w:hAnsi="DFKai-SB" w:eastAsia="DFKai-SB" w:cs="宋体"/>
          <w:sz w:val="22"/>
          <w:szCs w:val="22"/>
        </w:rPr>
        <w:t>20</w:t>
      </w:r>
      <w:r>
        <w:rPr>
          <w:rFonts w:hint="eastAsia" w:ascii="DFKai-SB" w:hAnsi="DFKai-SB" w:eastAsia="DFKai-SB" w:cs="宋体"/>
          <w:sz w:val="22"/>
          <w:szCs w:val="22"/>
        </w:rPr>
        <w:t>年5月1</w:t>
      </w:r>
      <w:r>
        <w:rPr>
          <w:rFonts w:ascii="DFKai-SB" w:hAnsi="DFKai-SB" w:eastAsia="DFKai-SB" w:cs="宋体"/>
          <w:sz w:val="22"/>
          <w:szCs w:val="22"/>
        </w:rPr>
        <w:t>4</w:t>
      </w:r>
      <w:r>
        <w:rPr>
          <w:rFonts w:hint="eastAsia" w:ascii="DFKai-SB" w:hAnsi="DFKai-SB" w:eastAsia="DFKai-SB" w:cs="宋体"/>
          <w:sz w:val="22"/>
          <w:szCs w:val="22"/>
        </w:rPr>
        <w:t>日的關於召開周年股東大會通告中所述，山東新華製藥股份有限公司（「</w:t>
      </w:r>
      <w:r>
        <w:rPr>
          <w:rFonts w:hint="eastAsia" w:ascii="DFKai-SB" w:hAnsi="DFKai-SB" w:eastAsia="DFKai-SB" w:cs="宋体"/>
          <w:b/>
          <w:sz w:val="22"/>
          <w:szCs w:val="22"/>
        </w:rPr>
        <w:t>本公司</w:t>
      </w:r>
      <w:r>
        <w:rPr>
          <w:rFonts w:hint="eastAsia" w:ascii="DFKai-SB" w:hAnsi="DFKai-SB" w:eastAsia="DFKai-SB" w:cs="宋体"/>
          <w:sz w:val="22"/>
          <w:szCs w:val="22"/>
        </w:rPr>
        <w:t>」）之201</w:t>
      </w:r>
      <w:r>
        <w:rPr>
          <w:rFonts w:ascii="DFKai-SB" w:hAnsi="DFKai-SB" w:eastAsia="DFKai-SB" w:cs="宋体"/>
          <w:sz w:val="22"/>
          <w:szCs w:val="22"/>
        </w:rPr>
        <w:t>9</w:t>
      </w:r>
      <w:r>
        <w:rPr>
          <w:rFonts w:hint="eastAsia" w:ascii="DFKai-SB" w:hAnsi="DFKai-SB" w:eastAsia="DFKai-SB" w:cs="宋体"/>
          <w:sz w:val="22"/>
          <w:szCs w:val="22"/>
        </w:rPr>
        <w:t>年度周年股東大會（「</w:t>
      </w:r>
      <w:r>
        <w:rPr>
          <w:rFonts w:hint="eastAsia" w:ascii="DFKai-SB" w:hAnsi="DFKai-SB" w:eastAsia="DFKai-SB" w:cs="宋体"/>
          <w:b/>
          <w:sz w:val="22"/>
          <w:szCs w:val="22"/>
        </w:rPr>
        <w:t>周年股東大會</w:t>
      </w:r>
      <w:r>
        <w:rPr>
          <w:rFonts w:hint="eastAsia" w:ascii="DFKai-SB" w:hAnsi="DFKai-SB" w:eastAsia="DFKai-SB" w:cs="宋体"/>
          <w:sz w:val="22"/>
          <w:szCs w:val="22"/>
        </w:rPr>
        <w:t>」）於20</w:t>
      </w:r>
      <w:r>
        <w:rPr>
          <w:rFonts w:ascii="DFKai-SB" w:hAnsi="DFKai-SB" w:eastAsia="DFKai-SB" w:cs="宋体"/>
          <w:sz w:val="22"/>
          <w:szCs w:val="22"/>
        </w:rPr>
        <w:t>20</w:t>
      </w:r>
      <w:r>
        <w:rPr>
          <w:rFonts w:hint="eastAsia" w:ascii="DFKai-SB" w:hAnsi="DFKai-SB" w:eastAsia="DFKai-SB" w:cs="宋体"/>
          <w:sz w:val="22"/>
          <w:szCs w:val="22"/>
        </w:rPr>
        <w:t>年6月2</w:t>
      </w:r>
      <w:r>
        <w:rPr>
          <w:rFonts w:ascii="DFKai-SB" w:hAnsi="DFKai-SB" w:eastAsia="DFKai-SB" w:cs="宋体"/>
          <w:sz w:val="22"/>
          <w:szCs w:val="22"/>
        </w:rPr>
        <w:t>9</w:t>
      </w:r>
      <w:r>
        <w:rPr>
          <w:rFonts w:hint="eastAsia" w:ascii="DFKai-SB" w:hAnsi="DFKai-SB" w:eastAsia="DFKai-SB" w:cs="宋体"/>
          <w:sz w:val="22"/>
          <w:szCs w:val="22"/>
        </w:rPr>
        <w:t>日（星期一）下午二時在中華人民共和國（「</w:t>
      </w:r>
      <w:r>
        <w:rPr>
          <w:rFonts w:hint="eastAsia" w:ascii="DFKai-SB" w:hAnsi="DFKai-SB" w:eastAsia="DFKai-SB" w:cs="宋体"/>
          <w:b/>
          <w:sz w:val="22"/>
          <w:szCs w:val="22"/>
        </w:rPr>
        <w:t>中國</w:t>
      </w:r>
      <w:r>
        <w:rPr>
          <w:rFonts w:hint="eastAsia" w:ascii="DFKai-SB" w:hAnsi="DFKai-SB" w:eastAsia="DFKai-SB" w:cs="宋体"/>
          <w:sz w:val="22"/>
          <w:szCs w:val="22"/>
        </w:rPr>
        <w:t>」）山東省淄博市高新區魯泰大道一號本公司會議室舉行，主席要求投票表決建議決議案，</w:t>
      </w:r>
      <w:r>
        <w:rPr>
          <w:rFonts w:hint="eastAsia" w:ascii="DFKai-SB" w:hAnsi="DFKai-SB" w:eastAsia="DFKai-SB" w:cs="宋体"/>
          <w:sz w:val="22"/>
          <w:szCs w:val="22"/>
          <w:highlight w:val="none"/>
        </w:rPr>
        <w:t>所有決議案由本公司股東（「</w:t>
      </w:r>
      <w:r>
        <w:rPr>
          <w:rFonts w:hint="eastAsia" w:ascii="DFKai-SB" w:hAnsi="DFKai-SB" w:eastAsia="DFKai-SB" w:cs="宋体"/>
          <w:b/>
          <w:sz w:val="22"/>
          <w:szCs w:val="22"/>
          <w:highlight w:val="none"/>
        </w:rPr>
        <w:t>股東</w:t>
      </w:r>
      <w:r>
        <w:rPr>
          <w:rFonts w:hint="eastAsia" w:ascii="DFKai-SB" w:hAnsi="DFKai-SB" w:eastAsia="DFKai-SB" w:cs="宋体"/>
          <w:sz w:val="22"/>
          <w:szCs w:val="22"/>
          <w:highlight w:val="none"/>
        </w:rPr>
        <w:t>」）批准。</w:t>
      </w:r>
    </w:p>
    <w:p>
      <w:pPr>
        <w:jc w:val="both"/>
        <w:rPr>
          <w:rFonts w:ascii="DFKai-SB" w:hAnsi="DFKai-SB" w:eastAsia="DFKai-SB" w:cs="宋体"/>
          <w:color w:val="000000"/>
          <w:sz w:val="22"/>
          <w:szCs w:val="22"/>
        </w:rPr>
      </w:pPr>
      <w:r>
        <w:rPr>
          <w:rFonts w:hint="eastAsia" w:ascii="DFKai-SB" w:hAnsi="DFKai-SB" w:eastAsia="DFKai-SB" w:cs="宋体"/>
          <w:sz w:val="22"/>
          <w:szCs w:val="22"/>
        </w:rPr>
        <w:t>於周年股東大會日期，本公司的已發行股份總數為</w:t>
      </w:r>
      <w:r>
        <w:rPr>
          <w:rFonts w:ascii="DFKai-SB" w:hAnsi="DFKai-SB" w:eastAsia="DFKai-SB" w:cs="宋体"/>
          <w:sz w:val="22"/>
          <w:szCs w:val="22"/>
        </w:rPr>
        <w:t>621,859,447</w:t>
      </w:r>
      <w:r>
        <w:rPr>
          <w:rFonts w:hint="eastAsia" w:ascii="DFKai-SB" w:hAnsi="DFKai-SB" w:eastAsia="DFKai-SB" w:cs="宋体"/>
          <w:sz w:val="22"/>
          <w:szCs w:val="22"/>
        </w:rPr>
        <w:t>股，其中包括</w:t>
      </w:r>
      <w:r>
        <w:rPr>
          <w:rFonts w:ascii="DFKai-SB" w:hAnsi="DFKai-SB" w:eastAsia="DFKai-SB" w:cs="宋体"/>
          <w:sz w:val="22"/>
          <w:szCs w:val="22"/>
        </w:rPr>
        <w:t>426,859,447</w:t>
      </w:r>
      <w:r>
        <w:rPr>
          <w:rFonts w:hint="eastAsia" w:ascii="DFKai-SB" w:hAnsi="DFKai-SB" w:eastAsia="DFKai-SB" w:cs="宋体"/>
          <w:sz w:val="22"/>
          <w:szCs w:val="22"/>
        </w:rPr>
        <w:t>股於深圳證券交易所上市的A股及</w:t>
      </w:r>
      <w:r>
        <w:rPr>
          <w:rFonts w:ascii="DFKai-SB" w:hAnsi="DFKai-SB" w:eastAsia="DFKai-SB" w:cs="宋体"/>
          <w:sz w:val="22"/>
          <w:szCs w:val="22"/>
        </w:rPr>
        <w:t>195,000,000</w:t>
      </w:r>
      <w:r>
        <w:rPr>
          <w:rFonts w:hint="eastAsia" w:ascii="DFKai-SB" w:hAnsi="DFKai-SB" w:eastAsia="DFKai-SB" w:cs="宋体"/>
          <w:sz w:val="22"/>
          <w:szCs w:val="22"/>
        </w:rPr>
        <w:t>股於香港聯合交易所有限公司上市的H股。此乃有權於周年股東大會上出席及對所有建議決議案投票贊成或反對的股份總數。</w:t>
      </w:r>
      <w:r>
        <w:rPr>
          <w:rFonts w:hint="eastAsia" w:ascii="DFKai-SB" w:hAnsi="DFKai-SB" w:eastAsia="DFKai-SB" w:cs="宋体"/>
          <w:sz w:val="22"/>
          <w:szCs w:val="22"/>
        </w:rPr>
        <w:cr/>
      </w:r>
    </w:p>
    <w:p>
      <w:pPr>
        <w:spacing w:line="360" w:lineRule="auto"/>
        <w:jc w:val="both"/>
        <w:rPr>
          <w:rFonts w:ascii="DFKai-SB" w:hAnsi="DFKai-SB" w:eastAsia="DFKai-SB" w:cs="宋体"/>
          <w:color w:val="000000"/>
          <w:sz w:val="22"/>
          <w:szCs w:val="22"/>
        </w:rPr>
      </w:pPr>
      <w:r>
        <w:rPr>
          <w:rFonts w:hint="eastAsia" w:ascii="DFKai-SB" w:hAnsi="DFKai-SB" w:eastAsia="DFKai-SB" w:cs="宋体"/>
          <w:color w:val="000000"/>
          <w:sz w:val="22"/>
          <w:szCs w:val="22"/>
        </w:rPr>
        <w:t>周年股東大會投票結果如下：</w:t>
      </w:r>
    </w:p>
    <w:p>
      <w:pPr>
        <w:spacing w:line="360" w:lineRule="auto"/>
        <w:jc w:val="both"/>
        <w:rPr>
          <w:rFonts w:ascii="DFKai-SB" w:hAnsi="DFKai-SB" w:eastAsia="DFKai-SB" w:cs="宋体"/>
          <w:b/>
          <w:color w:val="000000"/>
          <w:sz w:val="22"/>
          <w:szCs w:val="22"/>
        </w:rPr>
      </w:pPr>
      <w:bookmarkStart w:id="0" w:name="page2"/>
      <w:bookmarkEnd w:id="0"/>
      <w:r>
        <w:rPr>
          <w:rFonts w:hint="eastAsia" w:ascii="DFKai-SB" w:hAnsi="DFKai-SB" w:eastAsia="DFKai-SB" w:cs="宋体"/>
          <w:b/>
          <w:color w:val="000000"/>
          <w:sz w:val="22"/>
          <w:szCs w:val="22"/>
        </w:rPr>
        <w:t>周年股東大會投票結果</w:t>
      </w:r>
    </w:p>
    <w:tbl>
      <w:tblPr>
        <w:tblStyle w:val="13"/>
        <w:tblW w:w="9757" w:type="dxa"/>
        <w:tblInd w:w="-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
      <w:tblGrid>
        <w:gridCol w:w="553"/>
        <w:gridCol w:w="1612"/>
        <w:gridCol w:w="2070"/>
        <w:gridCol w:w="2070"/>
        <w:gridCol w:w="2160"/>
        <w:gridCol w:w="1292"/>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vMerge w:val="restart"/>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DFKai-SB" w:hAnsi="DFKai-SB" w:eastAsia="DFKai-SB" w:cs="宋体"/>
                <w:b/>
                <w:color w:val="000000"/>
                <w:sz w:val="22"/>
                <w:szCs w:val="22"/>
              </w:rPr>
            </w:pPr>
          </w:p>
          <w:p>
            <w:pPr>
              <w:spacing w:line="360" w:lineRule="auto"/>
              <w:jc w:val="center"/>
              <w:rPr>
                <w:rFonts w:ascii="DFKai-SB" w:hAnsi="DFKai-SB" w:eastAsia="DFKai-SB" w:cs="宋体"/>
                <w:b/>
                <w:color w:val="000000"/>
                <w:sz w:val="22"/>
                <w:szCs w:val="22"/>
              </w:rPr>
            </w:pPr>
            <w:r>
              <w:rPr>
                <w:rFonts w:hint="eastAsia" w:ascii="DFKai-SB" w:hAnsi="DFKai-SB" w:eastAsia="DFKai-SB" w:cs="宋体"/>
                <w:b/>
                <w:color w:val="000000"/>
                <w:sz w:val="22"/>
                <w:szCs w:val="22"/>
                <w:lang w:eastAsia="zh-CN"/>
              </w:rPr>
              <w:t>編號</w:t>
            </w:r>
          </w:p>
        </w:tc>
        <w:tc>
          <w:tcPr>
            <w:tcW w:w="1612" w:type="dxa"/>
            <w:vMerge w:val="restart"/>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DFKai-SB" w:hAnsi="DFKai-SB" w:eastAsia="DFKai-SB" w:cs="宋体"/>
                <w:b/>
                <w:color w:val="000000"/>
                <w:sz w:val="22"/>
                <w:szCs w:val="22"/>
              </w:rPr>
            </w:pPr>
          </w:p>
          <w:p>
            <w:pPr>
              <w:spacing w:line="360" w:lineRule="auto"/>
              <w:jc w:val="center"/>
              <w:rPr>
                <w:rFonts w:ascii="DFKai-SB" w:hAnsi="DFKai-SB" w:eastAsia="DFKai-SB" w:cs="宋体"/>
                <w:b/>
                <w:color w:val="000000"/>
                <w:sz w:val="22"/>
                <w:szCs w:val="22"/>
                <w:lang w:eastAsia="zh-CN"/>
              </w:rPr>
            </w:pPr>
            <w:r>
              <w:rPr>
                <w:rFonts w:hint="eastAsia" w:ascii="DFKai-SB" w:hAnsi="DFKai-SB" w:eastAsia="DFKai-SB" w:cs="宋体"/>
                <w:b/>
                <w:color w:val="000000"/>
                <w:sz w:val="22"/>
                <w:szCs w:val="22"/>
                <w:lang w:eastAsia="zh-CN"/>
              </w:rPr>
              <w:t>決議案</w:t>
            </w:r>
          </w:p>
        </w:tc>
        <w:tc>
          <w:tcPr>
            <w:tcW w:w="6300" w:type="dxa"/>
            <w:gridSpan w:val="3"/>
            <w:tcBorders>
              <w:top w:val="single" w:color="00000A" w:sz="4" w:space="0"/>
              <w:left w:val="single" w:color="00000A" w:sz="4" w:space="0"/>
              <w:bottom w:val="single" w:color="00000A" w:sz="4" w:space="0"/>
              <w:right w:val="single" w:color="00000A" w:sz="4" w:space="0"/>
            </w:tcBorders>
            <w:tcMar>
              <w:left w:w="0" w:type="dxa"/>
            </w:tcMar>
          </w:tcPr>
          <w:p>
            <w:pPr>
              <w:spacing w:line="360" w:lineRule="auto"/>
              <w:ind w:right="134"/>
              <w:jc w:val="center"/>
              <w:rPr>
                <w:rFonts w:ascii="DFKai-SB" w:hAnsi="DFKai-SB" w:eastAsia="DFKai-SB" w:cs="宋体"/>
                <w:b/>
                <w:color w:val="000000"/>
                <w:sz w:val="22"/>
                <w:szCs w:val="22"/>
                <w:lang w:eastAsia="zh-CN"/>
              </w:rPr>
            </w:pPr>
            <w:r>
              <w:rPr>
                <w:rFonts w:hint="eastAsia" w:ascii="DFKai-SB" w:hAnsi="DFKai-SB" w:eastAsia="DFKai-SB" w:cs="宋体"/>
                <w:b/>
                <w:color w:val="000000"/>
                <w:sz w:val="22"/>
                <w:szCs w:val="22"/>
                <w:lang w:eastAsia="zh-CN"/>
              </w:rPr>
              <w:t>投票總數 （百分比）</w:t>
            </w:r>
          </w:p>
        </w:tc>
        <w:tc>
          <w:tcPr>
            <w:tcW w:w="1292" w:type="dxa"/>
            <w:vMerge w:val="restart"/>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DFKai-SB" w:hAnsi="DFKai-SB" w:eastAsia="DFKai-SB" w:cs="宋体"/>
                <w:b/>
                <w:color w:val="000000"/>
                <w:sz w:val="22"/>
                <w:szCs w:val="22"/>
              </w:rPr>
            </w:pPr>
          </w:p>
          <w:p>
            <w:pPr>
              <w:spacing w:line="360" w:lineRule="auto"/>
              <w:ind w:right="146"/>
              <w:jc w:val="center"/>
              <w:rPr>
                <w:rFonts w:ascii="DFKai-SB" w:hAnsi="DFKai-SB" w:eastAsia="DFKai-SB" w:cs="宋体"/>
                <w:b/>
                <w:color w:val="000000"/>
                <w:sz w:val="22"/>
                <w:szCs w:val="22"/>
                <w:lang w:eastAsia="zh-CN"/>
              </w:rPr>
            </w:pPr>
            <w:r>
              <w:rPr>
                <w:rFonts w:hint="eastAsia" w:ascii="DFKai-SB" w:hAnsi="DFKai-SB" w:eastAsia="DFKai-SB" w:cs="宋体"/>
                <w:b/>
                <w:color w:val="000000"/>
                <w:sz w:val="22"/>
                <w:szCs w:val="22"/>
                <w:lang w:eastAsia="zh-CN"/>
              </w:rPr>
              <w:t>投票結果</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rPr>
          <w:tblHeader/>
        </w:trPr>
        <w:tc>
          <w:tcPr>
            <w:tcW w:w="553" w:type="dxa"/>
            <w:vMerge w:val="continue"/>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DFKai-SB" w:hAnsi="DFKai-SB" w:eastAsia="DFKai-SB" w:cs="宋体"/>
                <w:color w:val="000000"/>
                <w:sz w:val="22"/>
                <w:szCs w:val="22"/>
              </w:rPr>
            </w:pPr>
          </w:p>
        </w:tc>
        <w:tc>
          <w:tcPr>
            <w:tcW w:w="1612" w:type="dxa"/>
            <w:vMerge w:val="continue"/>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DFKai-SB" w:hAnsi="DFKai-SB" w:eastAsia="DFKai-SB" w:cs="宋体"/>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DFKai-SB" w:hAnsi="DFKai-SB" w:eastAsia="DFKai-SB" w:cs="宋体"/>
                <w:b/>
                <w:color w:val="000000"/>
                <w:sz w:val="22"/>
                <w:szCs w:val="22"/>
                <w:lang w:eastAsia="zh-CN"/>
              </w:rPr>
            </w:pPr>
            <w:r>
              <w:rPr>
                <w:rFonts w:hint="eastAsia" w:ascii="DFKai-SB" w:hAnsi="DFKai-SB" w:eastAsia="DFKai-SB" w:cs="宋体"/>
                <w:b/>
                <w:color w:val="000000"/>
                <w:sz w:val="22"/>
                <w:szCs w:val="22"/>
                <w:lang w:eastAsia="zh-CN"/>
              </w:rPr>
              <w:t>贊成</w:t>
            </w:r>
          </w:p>
        </w:tc>
        <w:tc>
          <w:tcPr>
            <w:tcW w:w="207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DFKai-SB" w:hAnsi="DFKai-SB" w:eastAsia="DFKai-SB" w:cs="宋体"/>
                <w:b/>
                <w:color w:val="000000"/>
                <w:sz w:val="22"/>
                <w:szCs w:val="22"/>
                <w:lang w:eastAsia="zh-CN"/>
              </w:rPr>
            </w:pPr>
            <w:r>
              <w:rPr>
                <w:rFonts w:hint="eastAsia" w:ascii="DFKai-SB" w:hAnsi="DFKai-SB" w:eastAsia="DFKai-SB" w:cs="宋体"/>
                <w:b/>
                <w:color w:val="000000"/>
                <w:sz w:val="22"/>
                <w:szCs w:val="22"/>
                <w:lang w:eastAsia="zh-CN"/>
              </w:rPr>
              <w:t>反對</w:t>
            </w:r>
          </w:p>
        </w:tc>
        <w:tc>
          <w:tcPr>
            <w:tcW w:w="2160"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DFKai-SB" w:hAnsi="DFKai-SB" w:eastAsia="DFKai-SB" w:cs="宋体"/>
                <w:b/>
                <w:color w:val="000000"/>
                <w:sz w:val="22"/>
                <w:szCs w:val="22"/>
                <w:lang w:eastAsia="zh-CN"/>
              </w:rPr>
            </w:pPr>
            <w:r>
              <w:rPr>
                <w:rFonts w:hint="eastAsia" w:ascii="DFKai-SB" w:hAnsi="DFKai-SB" w:eastAsia="DFKai-SB" w:cs="宋体"/>
                <w:b/>
                <w:color w:val="000000"/>
                <w:sz w:val="22"/>
                <w:szCs w:val="22"/>
                <w:lang w:eastAsia="zh-CN"/>
              </w:rPr>
              <w:t>棄權</w:t>
            </w:r>
          </w:p>
        </w:tc>
        <w:tc>
          <w:tcPr>
            <w:tcW w:w="1292" w:type="dxa"/>
            <w:vMerge w:val="continue"/>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DFKai-SB" w:hAnsi="DFKai-SB" w:eastAsia="DFKai-SB" w:cs="宋体"/>
                <w:b/>
                <w:color w:val="00000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rPr>
          <w:tblHeader/>
        </w:trPr>
        <w:tc>
          <w:tcPr>
            <w:tcW w:w="9757" w:type="dxa"/>
            <w:gridSpan w:val="6"/>
            <w:tcBorders>
              <w:top w:val="single" w:color="00000A" w:sz="4" w:space="0"/>
              <w:left w:val="single" w:color="00000A" w:sz="4" w:space="0"/>
              <w:bottom w:val="single" w:color="00000A" w:sz="4" w:space="0"/>
              <w:right w:val="single" w:color="00000A" w:sz="4" w:space="0"/>
            </w:tcBorders>
            <w:tcMar>
              <w:left w:w="0" w:type="dxa"/>
            </w:tcMar>
          </w:tcPr>
          <w:p>
            <w:pPr>
              <w:spacing w:line="360" w:lineRule="auto"/>
              <w:ind w:right="146"/>
              <w:jc w:val="center"/>
              <w:rPr>
                <w:rFonts w:ascii="DFKai-SB" w:hAnsi="DFKai-SB" w:eastAsia="DFKai-SB" w:cs="宋体"/>
                <w:b/>
                <w:color w:val="000000"/>
                <w:sz w:val="22"/>
                <w:szCs w:val="22"/>
                <w:lang w:eastAsia="zh-CN"/>
              </w:rPr>
            </w:pPr>
            <w:r>
              <w:rPr>
                <w:rFonts w:hint="eastAsia" w:ascii="DFKai-SB" w:hAnsi="DFKai-SB" w:eastAsia="DFKai-SB" w:cs="宋体"/>
                <w:b/>
                <w:color w:val="000000"/>
                <w:sz w:val="22"/>
                <w:szCs w:val="22"/>
                <w:lang w:eastAsia="zh-CN"/>
              </w:rPr>
              <w:t>普通決議案</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rPr>
          <w:tblHeader/>
        </w:trPr>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r>
              <w:rPr>
                <w:rFonts w:hint="eastAsia" w:ascii="DFKai-SB" w:hAnsi="DFKai-SB" w:eastAsia="DFKai-SB" w:cs="宋体"/>
                <w:color w:val="000000"/>
                <w:sz w:val="22"/>
                <w:szCs w:val="22"/>
              </w:rPr>
              <w:t>1.</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tcPr>
          <w:p>
            <w:pPr>
              <w:spacing w:line="360" w:lineRule="auto"/>
              <w:ind w:right="146"/>
              <w:jc w:val="both"/>
              <w:rPr>
                <w:rFonts w:ascii="DFKai-SB" w:hAnsi="DFKai-SB" w:eastAsia="DFKai-SB" w:cs="宋体"/>
                <w:color w:val="000000"/>
                <w:sz w:val="22"/>
                <w:szCs w:val="22"/>
              </w:rPr>
            </w:pPr>
            <w:r>
              <w:rPr>
                <w:rFonts w:hint="eastAsia" w:ascii="DFKai-SB" w:hAnsi="DFKai-SB" w:eastAsia="DFKai-SB" w:cs="宋体"/>
                <w:color w:val="000000"/>
                <w:sz w:val="22"/>
                <w:szCs w:val="22"/>
              </w:rPr>
              <w:t>審議及批准201</w:t>
            </w:r>
            <w:r>
              <w:rPr>
                <w:rFonts w:ascii="DFKai-SB" w:hAnsi="DFKai-SB" w:eastAsia="DFKai-SB" w:cs="宋体"/>
                <w:color w:val="000000"/>
                <w:sz w:val="22"/>
                <w:szCs w:val="22"/>
              </w:rPr>
              <w:t>9</w:t>
            </w:r>
            <w:r>
              <w:rPr>
                <w:rFonts w:hint="eastAsia" w:ascii="DFKai-SB" w:hAnsi="DFKai-SB" w:eastAsia="DFKai-SB" w:cs="宋体"/>
                <w:color w:val="000000"/>
                <w:sz w:val="22"/>
                <w:szCs w:val="22"/>
              </w:rPr>
              <w:t>年度本公司年度報告。</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rPr>
          <w:tblHeader/>
        </w:trPr>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highlight w:val="none"/>
              </w:rPr>
            </w:pPr>
            <w:r>
              <w:rPr>
                <w:rFonts w:hint="eastAsia" w:ascii="DFKai-SB" w:hAnsi="DFKai-SB" w:eastAsia="宋体"/>
                <w:sz w:val="22"/>
                <w:szCs w:val="22"/>
                <w:highlight w:val="none"/>
                <w:lang w:val="en-US" w:eastAsia="zh-CN"/>
              </w:rPr>
              <w:t>215,756,879</w:t>
            </w:r>
            <w:r>
              <w:rPr>
                <w:rFonts w:hint="eastAsia" w:ascii="DFKai-SB" w:hAnsi="DFKai-SB" w:eastAsia="DFKai-SB" w:cs="宋体"/>
                <w:color w:val="000000"/>
                <w:sz w:val="22"/>
                <w:szCs w:val="22"/>
                <w:highlight w:val="none"/>
                <w:lang w:eastAsia="zh-CN"/>
              </w:rPr>
              <w:t>股</w:t>
            </w:r>
            <w:r>
              <w:rPr>
                <w:rFonts w:hint="eastAsia" w:ascii="DFKai-SB" w:hAnsi="DFKai-SB" w:eastAsia="DFKai-SB" w:cs="宋体"/>
                <w:color w:val="000000"/>
                <w:sz w:val="22"/>
                <w:szCs w:val="22"/>
                <w:highlight w:val="none"/>
              </w:rPr>
              <w:t xml:space="preserve">        </w:t>
            </w:r>
          </w:p>
          <w:p>
            <w:pPr>
              <w:spacing w:line="360" w:lineRule="auto"/>
              <w:jc w:val="center"/>
              <w:rPr>
                <w:rFonts w:ascii="DFKai-SB" w:hAnsi="DFKai-SB" w:eastAsia="DFKai-SB" w:cs="宋体"/>
                <w:color w:val="000000"/>
                <w:sz w:val="22"/>
                <w:szCs w:val="22"/>
              </w:rPr>
            </w:pPr>
            <w:r>
              <w:rPr>
                <w:rFonts w:hint="eastAsia" w:ascii="DFKai-SB" w:hAnsi="DFKai-SB" w:eastAsia="DFKai-SB" w:cs="宋体"/>
                <w:color w:val="000000"/>
                <w:sz w:val="22"/>
                <w:szCs w:val="22"/>
                <w:highlight w:val="none"/>
              </w:rPr>
              <w:t>(</w:t>
            </w:r>
            <w:r>
              <w:rPr>
                <w:rFonts w:hint="eastAsia" w:ascii="DFKai-SB" w:hAnsi="DFKai-SB" w:eastAsia="宋体"/>
                <w:sz w:val="22"/>
                <w:szCs w:val="22"/>
                <w:highlight w:val="none"/>
                <w:lang w:val="en-US" w:eastAsia="zh-CN"/>
              </w:rPr>
              <w:t>99.93</w:t>
            </w:r>
            <w:r>
              <w:rPr>
                <w:rFonts w:hint="eastAsia" w:ascii="DFKai-SB" w:hAnsi="DFKai-SB" w:eastAsia="DFKai-SB" w:cs="宋体"/>
                <w:color w:val="000000"/>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highlight w:val="none"/>
              </w:rPr>
            </w:pPr>
            <w:r>
              <w:rPr>
                <w:rFonts w:hint="eastAsia" w:ascii="DFKai-SB" w:hAnsi="DFKai-SB" w:eastAsia="宋体"/>
                <w:sz w:val="22"/>
                <w:szCs w:val="22"/>
                <w:highlight w:val="none"/>
                <w:lang w:val="en-US" w:eastAsia="zh-CN"/>
              </w:rPr>
              <w:t>60</w:t>
            </w:r>
            <w:r>
              <w:rPr>
                <w:rFonts w:hint="eastAsia" w:ascii="DFKai-SB" w:hAnsi="DFKai-SB" w:eastAsia="DFKai-SB" w:cs="宋体"/>
                <w:color w:val="000000"/>
                <w:sz w:val="22"/>
                <w:szCs w:val="22"/>
                <w:highlight w:val="none"/>
                <w:lang w:eastAsia="zh-CN"/>
              </w:rPr>
              <w:t>股</w:t>
            </w:r>
            <w:r>
              <w:rPr>
                <w:rFonts w:hint="eastAsia" w:ascii="DFKai-SB" w:hAnsi="DFKai-SB" w:eastAsia="DFKai-SB" w:cs="宋体"/>
                <w:color w:val="000000"/>
                <w:sz w:val="22"/>
                <w:szCs w:val="22"/>
                <w:highlight w:val="none"/>
              </w:rPr>
              <w:t xml:space="preserve">        </w:t>
            </w:r>
          </w:p>
          <w:p>
            <w:pPr>
              <w:spacing w:line="360" w:lineRule="auto"/>
              <w:jc w:val="center"/>
              <w:rPr>
                <w:rFonts w:ascii="DFKai-SB" w:hAnsi="DFKai-SB" w:eastAsia="DFKai-SB" w:cs="宋体"/>
                <w:color w:val="000000"/>
                <w:sz w:val="22"/>
                <w:szCs w:val="22"/>
              </w:rPr>
            </w:pPr>
            <w:r>
              <w:rPr>
                <w:rFonts w:hint="eastAsia" w:ascii="DFKai-SB" w:hAnsi="DFKai-SB" w:eastAsia="DFKai-SB" w:cs="宋体"/>
                <w:color w:val="000000"/>
                <w:sz w:val="22"/>
                <w:szCs w:val="22"/>
                <w:highlight w:val="none"/>
              </w:rPr>
              <w:t>(</w:t>
            </w:r>
            <w:r>
              <w:rPr>
                <w:rFonts w:hint="eastAsia" w:ascii="DFKai-SB" w:hAnsi="DFKai-SB" w:eastAsia="宋体"/>
                <w:sz w:val="22"/>
                <w:szCs w:val="22"/>
                <w:highlight w:val="none"/>
                <w:lang w:val="en-US" w:eastAsia="zh-CN"/>
              </w:rPr>
              <w:t>0</w:t>
            </w:r>
            <w:r>
              <w:rPr>
                <w:rFonts w:hint="eastAsia" w:ascii="DFKai-SB" w:hAnsi="DFKai-SB" w:eastAsia="DFKai-SB" w:cs="宋体"/>
                <w:color w:val="000000"/>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highlight w:val="none"/>
              </w:rPr>
            </w:pPr>
            <w:r>
              <w:rPr>
                <w:rFonts w:hint="eastAsia" w:ascii="DFKai-SB" w:hAnsi="DFKai-SB" w:eastAsia="宋体"/>
                <w:sz w:val="22"/>
                <w:szCs w:val="22"/>
                <w:highlight w:val="none"/>
                <w:lang w:val="en-US" w:eastAsia="zh-CN"/>
              </w:rPr>
              <w:t>144,000</w:t>
            </w:r>
            <w:r>
              <w:rPr>
                <w:rFonts w:hint="eastAsia" w:ascii="DFKai-SB" w:hAnsi="DFKai-SB" w:eastAsia="DFKai-SB" w:cs="宋体"/>
                <w:color w:val="000000"/>
                <w:sz w:val="22"/>
                <w:szCs w:val="22"/>
                <w:highlight w:val="none"/>
                <w:lang w:eastAsia="zh-CN"/>
              </w:rPr>
              <w:t>股</w:t>
            </w:r>
            <w:r>
              <w:rPr>
                <w:rFonts w:hint="eastAsia" w:ascii="DFKai-SB" w:hAnsi="DFKai-SB" w:eastAsia="DFKai-SB" w:cs="宋体"/>
                <w:color w:val="000000"/>
                <w:sz w:val="22"/>
                <w:szCs w:val="22"/>
                <w:highlight w:val="none"/>
              </w:rPr>
              <w:t xml:space="preserve">        </w:t>
            </w:r>
          </w:p>
          <w:p>
            <w:pPr>
              <w:spacing w:line="360" w:lineRule="auto"/>
              <w:jc w:val="center"/>
              <w:rPr>
                <w:rFonts w:ascii="DFKai-SB" w:hAnsi="DFKai-SB" w:eastAsia="DFKai-SB" w:cs="宋体"/>
                <w:color w:val="000000"/>
                <w:sz w:val="22"/>
                <w:szCs w:val="22"/>
              </w:rPr>
            </w:pPr>
            <w:r>
              <w:rPr>
                <w:rFonts w:hint="eastAsia" w:ascii="DFKai-SB" w:hAnsi="DFKai-SB" w:eastAsia="DFKai-SB" w:cs="宋体"/>
                <w:color w:val="000000"/>
                <w:sz w:val="22"/>
                <w:szCs w:val="22"/>
                <w:highlight w:val="none"/>
              </w:rPr>
              <w:t>(</w:t>
            </w:r>
            <w:r>
              <w:rPr>
                <w:rFonts w:hint="eastAsia" w:ascii="DFKai-SB" w:hAnsi="DFKai-SB" w:eastAsia="宋体"/>
                <w:sz w:val="22"/>
                <w:szCs w:val="22"/>
                <w:highlight w:val="none"/>
                <w:lang w:val="en-US" w:eastAsia="zh-CN"/>
              </w:rPr>
              <w:t>0.07</w:t>
            </w:r>
            <w:r>
              <w:rPr>
                <w:rFonts w:hint="eastAsia" w:ascii="DFKai-SB" w:hAnsi="DFKai-SB" w:eastAsia="DFKai-SB" w:cs="宋体"/>
                <w:color w:val="000000"/>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center"/>
              <w:rPr>
                <w:rFonts w:ascii="DFKai-SB" w:hAnsi="DFKai-SB" w:eastAsia="DFKai-SB" w:cs="宋体"/>
                <w:color w:val="000000"/>
                <w:sz w:val="22"/>
                <w:szCs w:val="22"/>
                <w:lang w:eastAsia="zh-CN"/>
              </w:rPr>
            </w:pPr>
            <w:r>
              <w:rPr>
                <w:rFonts w:hint="eastAsia" w:ascii="DFKai-SB" w:hAnsi="DFKai-SB" w:eastAsia="DFKai-SB" w:cs="宋体"/>
                <w:b/>
                <w:color w:val="000000"/>
                <w:sz w:val="22"/>
                <w:szCs w:val="22"/>
                <w:highlight w:val="none"/>
                <w:lang w:eastAsia="zh-CN"/>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rPr>
          <w:tblHeader/>
        </w:trPr>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r>
              <w:rPr>
                <w:rFonts w:hint="eastAsia" w:ascii="DFKai-SB" w:hAnsi="DFKai-SB" w:eastAsia="DFKai-SB" w:cs="宋体"/>
                <w:color w:val="000000"/>
                <w:sz w:val="22"/>
                <w:szCs w:val="22"/>
              </w:rPr>
              <w:t>2.</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tcPr>
          <w:p>
            <w:pPr>
              <w:spacing w:line="360" w:lineRule="auto"/>
              <w:ind w:right="146"/>
              <w:jc w:val="both"/>
              <w:rPr>
                <w:rFonts w:ascii="DFKai-SB" w:hAnsi="DFKai-SB" w:eastAsia="DFKai-SB" w:cs="宋体"/>
                <w:color w:val="000000"/>
                <w:sz w:val="22"/>
                <w:szCs w:val="22"/>
              </w:rPr>
            </w:pPr>
            <w:r>
              <w:rPr>
                <w:rFonts w:hint="eastAsia" w:ascii="DFKai-SB" w:hAnsi="DFKai-SB" w:eastAsia="DFKai-SB" w:cs="宋体"/>
                <w:color w:val="000000"/>
                <w:sz w:val="22"/>
                <w:szCs w:val="22"/>
              </w:rPr>
              <w:t>審議及批准201</w:t>
            </w:r>
            <w:r>
              <w:rPr>
                <w:rFonts w:ascii="DFKai-SB" w:hAnsi="DFKai-SB" w:eastAsia="DFKai-SB" w:cs="宋体"/>
                <w:color w:val="000000"/>
                <w:sz w:val="22"/>
                <w:szCs w:val="22"/>
              </w:rPr>
              <w:t>9</w:t>
            </w:r>
            <w:r>
              <w:rPr>
                <w:rFonts w:hint="eastAsia" w:ascii="DFKai-SB" w:hAnsi="DFKai-SB" w:eastAsia="DFKai-SB" w:cs="宋体"/>
                <w:color w:val="000000"/>
                <w:sz w:val="22"/>
                <w:szCs w:val="22"/>
              </w:rPr>
              <w:t>年度本公司董事會報告。</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highlight w:val="none"/>
              </w:rPr>
            </w:pPr>
            <w:r>
              <w:rPr>
                <w:rFonts w:hint="eastAsia" w:ascii="DFKai-SB" w:hAnsi="DFKai-SB" w:eastAsia="宋体"/>
                <w:sz w:val="22"/>
                <w:szCs w:val="22"/>
                <w:highlight w:val="none"/>
                <w:lang w:val="en-US" w:eastAsia="zh-CN"/>
              </w:rPr>
              <w:t>215,638,879</w:t>
            </w:r>
            <w:r>
              <w:rPr>
                <w:rFonts w:hint="eastAsia" w:ascii="DFKai-SB" w:hAnsi="DFKai-SB" w:eastAsia="DFKai-SB" w:cs="宋体"/>
                <w:color w:val="000000"/>
                <w:sz w:val="22"/>
                <w:szCs w:val="22"/>
                <w:highlight w:val="none"/>
                <w:lang w:eastAsia="zh-CN"/>
              </w:rPr>
              <w:t>股</w:t>
            </w:r>
            <w:r>
              <w:rPr>
                <w:rFonts w:hint="eastAsia" w:ascii="DFKai-SB" w:hAnsi="DFKai-SB" w:eastAsia="DFKai-SB" w:cs="宋体"/>
                <w:color w:val="000000"/>
                <w:sz w:val="22"/>
                <w:szCs w:val="22"/>
                <w:highlight w:val="none"/>
              </w:rPr>
              <w:t xml:space="preserve">        </w:t>
            </w:r>
          </w:p>
          <w:p>
            <w:pPr>
              <w:spacing w:line="360" w:lineRule="auto"/>
              <w:jc w:val="center"/>
              <w:rPr>
                <w:rFonts w:ascii="DFKai-SB" w:hAnsi="DFKai-SB" w:eastAsia="DFKai-SB" w:cs="宋体"/>
                <w:color w:val="000000"/>
                <w:sz w:val="22"/>
                <w:szCs w:val="22"/>
              </w:rPr>
            </w:pPr>
            <w:r>
              <w:rPr>
                <w:rFonts w:hint="eastAsia" w:ascii="DFKai-SB" w:hAnsi="DFKai-SB" w:eastAsia="DFKai-SB" w:cs="宋体"/>
                <w:color w:val="000000"/>
                <w:sz w:val="22"/>
                <w:szCs w:val="22"/>
                <w:highlight w:val="none"/>
              </w:rPr>
              <w:t>(</w:t>
            </w:r>
            <w:r>
              <w:rPr>
                <w:rFonts w:hint="eastAsia" w:ascii="DFKai-SB" w:hAnsi="DFKai-SB" w:eastAsia="宋体"/>
                <w:sz w:val="22"/>
                <w:szCs w:val="22"/>
                <w:highlight w:val="none"/>
                <w:lang w:val="en-US" w:eastAsia="zh-CN"/>
              </w:rPr>
              <w:t>99.88</w:t>
            </w:r>
            <w:r>
              <w:rPr>
                <w:rFonts w:hint="eastAsia" w:ascii="DFKai-SB" w:hAnsi="DFKai-SB" w:eastAsia="DFKai-SB" w:cs="宋体"/>
                <w:color w:val="000000"/>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highlight w:val="none"/>
              </w:rPr>
            </w:pPr>
            <w:r>
              <w:rPr>
                <w:rFonts w:hint="eastAsia" w:ascii="DFKai-SB" w:hAnsi="DFKai-SB" w:eastAsia="宋体"/>
                <w:sz w:val="22"/>
                <w:szCs w:val="22"/>
                <w:highlight w:val="none"/>
                <w:lang w:val="en-US" w:eastAsia="zh-CN"/>
              </w:rPr>
              <w:t>118,060</w:t>
            </w:r>
            <w:r>
              <w:rPr>
                <w:rFonts w:hint="eastAsia" w:ascii="DFKai-SB" w:hAnsi="DFKai-SB" w:eastAsia="DFKai-SB" w:cs="宋体"/>
                <w:color w:val="000000"/>
                <w:sz w:val="22"/>
                <w:szCs w:val="22"/>
                <w:highlight w:val="none"/>
                <w:lang w:eastAsia="zh-CN"/>
              </w:rPr>
              <w:t>股</w:t>
            </w:r>
            <w:r>
              <w:rPr>
                <w:rFonts w:hint="eastAsia" w:ascii="DFKai-SB" w:hAnsi="DFKai-SB" w:eastAsia="DFKai-SB" w:cs="宋体"/>
                <w:color w:val="000000"/>
                <w:sz w:val="22"/>
                <w:szCs w:val="22"/>
                <w:highlight w:val="none"/>
              </w:rPr>
              <w:t xml:space="preserve">        </w:t>
            </w:r>
          </w:p>
          <w:p>
            <w:pPr>
              <w:spacing w:line="360" w:lineRule="auto"/>
              <w:jc w:val="center"/>
              <w:rPr>
                <w:rFonts w:ascii="DFKai-SB" w:hAnsi="DFKai-SB" w:eastAsia="DFKai-SB" w:cs="宋体"/>
                <w:color w:val="000000"/>
                <w:sz w:val="22"/>
                <w:szCs w:val="22"/>
              </w:rPr>
            </w:pPr>
            <w:r>
              <w:rPr>
                <w:rFonts w:hint="eastAsia" w:ascii="DFKai-SB" w:hAnsi="DFKai-SB" w:eastAsia="DFKai-SB" w:cs="宋体"/>
                <w:color w:val="000000"/>
                <w:sz w:val="22"/>
                <w:szCs w:val="22"/>
                <w:highlight w:val="none"/>
              </w:rPr>
              <w:t>(</w:t>
            </w:r>
            <w:r>
              <w:rPr>
                <w:rFonts w:hint="eastAsia" w:ascii="DFKai-SB" w:hAnsi="DFKai-SB" w:eastAsia="宋体"/>
                <w:sz w:val="22"/>
                <w:szCs w:val="22"/>
                <w:highlight w:val="none"/>
                <w:lang w:val="en-US" w:eastAsia="zh-CN"/>
              </w:rPr>
              <w:t>0.05</w:t>
            </w:r>
            <w:r>
              <w:rPr>
                <w:rFonts w:hint="eastAsia" w:ascii="DFKai-SB" w:hAnsi="DFKai-SB" w:eastAsia="DFKai-SB" w:cs="宋体"/>
                <w:color w:val="000000"/>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highlight w:val="none"/>
              </w:rPr>
            </w:pPr>
            <w:r>
              <w:rPr>
                <w:rFonts w:hint="eastAsia" w:ascii="DFKai-SB" w:hAnsi="DFKai-SB" w:eastAsia="宋体"/>
                <w:sz w:val="22"/>
                <w:szCs w:val="22"/>
                <w:highlight w:val="none"/>
                <w:lang w:val="en-US" w:eastAsia="zh-CN"/>
              </w:rPr>
              <w:t>144,000</w:t>
            </w:r>
            <w:r>
              <w:rPr>
                <w:rFonts w:hint="eastAsia" w:ascii="DFKai-SB" w:hAnsi="DFKai-SB" w:eastAsia="DFKai-SB" w:cs="宋体"/>
                <w:color w:val="000000"/>
                <w:sz w:val="22"/>
                <w:szCs w:val="22"/>
                <w:highlight w:val="none"/>
                <w:lang w:eastAsia="zh-CN"/>
              </w:rPr>
              <w:t>股</w:t>
            </w:r>
            <w:r>
              <w:rPr>
                <w:rFonts w:hint="eastAsia" w:ascii="DFKai-SB" w:hAnsi="DFKai-SB" w:eastAsia="DFKai-SB" w:cs="宋体"/>
                <w:color w:val="000000"/>
                <w:sz w:val="22"/>
                <w:szCs w:val="22"/>
                <w:highlight w:val="none"/>
              </w:rPr>
              <w:t xml:space="preserve">        </w:t>
            </w:r>
          </w:p>
          <w:p>
            <w:pPr>
              <w:spacing w:line="360" w:lineRule="auto"/>
              <w:jc w:val="center"/>
              <w:rPr>
                <w:rFonts w:ascii="DFKai-SB" w:hAnsi="DFKai-SB" w:eastAsia="DFKai-SB" w:cs="宋体"/>
                <w:color w:val="000000"/>
                <w:sz w:val="22"/>
                <w:szCs w:val="22"/>
              </w:rPr>
            </w:pPr>
            <w:r>
              <w:rPr>
                <w:rFonts w:hint="eastAsia" w:ascii="DFKai-SB" w:hAnsi="DFKai-SB" w:eastAsia="DFKai-SB" w:cs="宋体"/>
                <w:color w:val="000000"/>
                <w:sz w:val="22"/>
                <w:szCs w:val="22"/>
                <w:highlight w:val="none"/>
              </w:rPr>
              <w:t>(</w:t>
            </w:r>
            <w:r>
              <w:rPr>
                <w:rFonts w:hint="eastAsia" w:ascii="DFKai-SB" w:hAnsi="DFKai-SB" w:eastAsia="宋体"/>
                <w:sz w:val="22"/>
                <w:szCs w:val="22"/>
                <w:highlight w:val="none"/>
                <w:lang w:val="en-US" w:eastAsia="zh-CN"/>
              </w:rPr>
              <w:t>0.07</w:t>
            </w:r>
            <w:r>
              <w:rPr>
                <w:rFonts w:hint="eastAsia" w:ascii="DFKai-SB" w:hAnsi="DFKai-SB" w:eastAsia="DFKai-SB" w:cs="宋体"/>
                <w:color w:val="000000"/>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rPr>
            </w:pPr>
            <w:r>
              <w:rPr>
                <w:rFonts w:hint="eastAsia" w:ascii="DFKai-SB" w:hAnsi="DFKai-SB" w:eastAsia="DFKai-SB" w:cs="宋体"/>
                <w:b/>
                <w:color w:val="000000"/>
                <w:sz w:val="22"/>
                <w:szCs w:val="22"/>
                <w:highlight w:val="none"/>
                <w:lang w:eastAsia="zh-CN"/>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r>
              <w:rPr>
                <w:rFonts w:hint="eastAsia" w:ascii="DFKai-SB" w:hAnsi="DFKai-SB" w:eastAsia="DFKai-SB" w:cs="宋体"/>
                <w:color w:val="000000"/>
                <w:sz w:val="22"/>
                <w:szCs w:val="22"/>
              </w:rPr>
              <w:t>3.</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r>
              <w:rPr>
                <w:rFonts w:hint="eastAsia" w:ascii="DFKai-SB" w:hAnsi="DFKai-SB" w:eastAsia="DFKai-SB" w:cs="宋体"/>
                <w:color w:val="000000"/>
                <w:sz w:val="22"/>
                <w:szCs w:val="22"/>
              </w:rPr>
              <w:t>審議及批准201</w:t>
            </w:r>
            <w:r>
              <w:rPr>
                <w:rFonts w:ascii="DFKai-SB" w:hAnsi="DFKai-SB" w:eastAsia="DFKai-SB" w:cs="宋体"/>
                <w:color w:val="000000"/>
                <w:sz w:val="22"/>
                <w:szCs w:val="22"/>
              </w:rPr>
              <w:t>9</w:t>
            </w:r>
            <w:r>
              <w:rPr>
                <w:rFonts w:hint="eastAsia" w:ascii="DFKai-SB" w:hAnsi="DFKai-SB" w:eastAsia="DFKai-SB" w:cs="宋体"/>
                <w:color w:val="000000"/>
                <w:sz w:val="22"/>
                <w:szCs w:val="22"/>
              </w:rPr>
              <w:t>年度本公司監事會報告。</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highlight w:val="none"/>
              </w:rPr>
            </w:pPr>
            <w:r>
              <w:rPr>
                <w:rFonts w:hint="eastAsia" w:ascii="DFKai-SB" w:hAnsi="DFKai-SB" w:eastAsia="宋体"/>
                <w:sz w:val="22"/>
                <w:szCs w:val="22"/>
                <w:highlight w:val="none"/>
                <w:lang w:val="en-US" w:eastAsia="zh-CN"/>
              </w:rPr>
              <w:t>215,638,879</w:t>
            </w:r>
            <w:r>
              <w:rPr>
                <w:rFonts w:hint="eastAsia" w:ascii="DFKai-SB" w:hAnsi="DFKai-SB" w:eastAsia="DFKai-SB" w:cs="宋体"/>
                <w:color w:val="000000"/>
                <w:sz w:val="22"/>
                <w:szCs w:val="22"/>
                <w:highlight w:val="none"/>
                <w:lang w:eastAsia="zh-CN"/>
              </w:rPr>
              <w:t>股</w:t>
            </w:r>
            <w:r>
              <w:rPr>
                <w:rFonts w:hint="eastAsia" w:ascii="DFKai-SB" w:hAnsi="DFKai-SB" w:eastAsia="DFKai-SB" w:cs="宋体"/>
                <w:color w:val="000000"/>
                <w:sz w:val="22"/>
                <w:szCs w:val="22"/>
                <w:highlight w:val="none"/>
              </w:rPr>
              <w:t xml:space="preserve">        </w:t>
            </w:r>
          </w:p>
          <w:p>
            <w:pPr>
              <w:spacing w:line="360" w:lineRule="auto"/>
              <w:jc w:val="center"/>
              <w:rPr>
                <w:rFonts w:ascii="DFKai-SB" w:hAnsi="DFKai-SB" w:eastAsia="DFKai-SB" w:cs="宋体"/>
                <w:color w:val="000000"/>
                <w:sz w:val="22"/>
                <w:szCs w:val="22"/>
              </w:rPr>
            </w:pPr>
            <w:r>
              <w:rPr>
                <w:rFonts w:hint="eastAsia" w:ascii="DFKai-SB" w:hAnsi="DFKai-SB" w:eastAsia="DFKai-SB" w:cs="宋体"/>
                <w:color w:val="000000"/>
                <w:sz w:val="22"/>
                <w:szCs w:val="22"/>
                <w:highlight w:val="none"/>
              </w:rPr>
              <w:t>(</w:t>
            </w:r>
            <w:r>
              <w:rPr>
                <w:rFonts w:hint="eastAsia" w:ascii="DFKai-SB" w:hAnsi="DFKai-SB" w:eastAsia="宋体"/>
                <w:sz w:val="22"/>
                <w:szCs w:val="22"/>
                <w:highlight w:val="none"/>
                <w:lang w:val="en-US" w:eastAsia="zh-CN"/>
              </w:rPr>
              <w:t>99.88</w:t>
            </w:r>
            <w:r>
              <w:rPr>
                <w:rFonts w:hint="eastAsia" w:ascii="DFKai-SB" w:hAnsi="DFKai-SB" w:eastAsia="DFKai-SB" w:cs="宋体"/>
                <w:color w:val="000000"/>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highlight w:val="none"/>
              </w:rPr>
            </w:pPr>
            <w:r>
              <w:rPr>
                <w:rFonts w:hint="eastAsia" w:ascii="DFKai-SB" w:hAnsi="DFKai-SB" w:eastAsia="宋体"/>
                <w:sz w:val="22"/>
                <w:szCs w:val="22"/>
                <w:highlight w:val="none"/>
                <w:lang w:val="en-US" w:eastAsia="zh-CN"/>
              </w:rPr>
              <w:t>118,060</w:t>
            </w:r>
            <w:r>
              <w:rPr>
                <w:rFonts w:hint="eastAsia" w:ascii="DFKai-SB" w:hAnsi="DFKai-SB" w:eastAsia="DFKai-SB" w:cs="宋体"/>
                <w:color w:val="000000"/>
                <w:sz w:val="22"/>
                <w:szCs w:val="22"/>
                <w:highlight w:val="none"/>
                <w:lang w:eastAsia="zh-CN"/>
              </w:rPr>
              <w:t>股</w:t>
            </w:r>
            <w:r>
              <w:rPr>
                <w:rFonts w:hint="eastAsia" w:ascii="DFKai-SB" w:hAnsi="DFKai-SB" w:eastAsia="DFKai-SB" w:cs="宋体"/>
                <w:color w:val="000000"/>
                <w:sz w:val="22"/>
                <w:szCs w:val="22"/>
                <w:highlight w:val="none"/>
              </w:rPr>
              <w:t xml:space="preserve">        </w:t>
            </w:r>
          </w:p>
          <w:p>
            <w:pPr>
              <w:spacing w:line="360" w:lineRule="auto"/>
              <w:jc w:val="center"/>
              <w:rPr>
                <w:rFonts w:ascii="DFKai-SB" w:hAnsi="DFKai-SB" w:eastAsia="DFKai-SB" w:cs="宋体"/>
                <w:color w:val="000000"/>
                <w:sz w:val="22"/>
                <w:szCs w:val="22"/>
              </w:rPr>
            </w:pPr>
            <w:r>
              <w:rPr>
                <w:rFonts w:hint="eastAsia" w:ascii="DFKai-SB" w:hAnsi="DFKai-SB" w:eastAsia="DFKai-SB" w:cs="宋体"/>
                <w:color w:val="000000"/>
                <w:sz w:val="22"/>
                <w:szCs w:val="22"/>
                <w:highlight w:val="none"/>
              </w:rPr>
              <w:t>(</w:t>
            </w:r>
            <w:r>
              <w:rPr>
                <w:rFonts w:hint="eastAsia" w:ascii="DFKai-SB" w:hAnsi="DFKai-SB" w:eastAsia="宋体"/>
                <w:sz w:val="22"/>
                <w:szCs w:val="22"/>
                <w:highlight w:val="none"/>
                <w:lang w:val="en-US" w:eastAsia="zh-CN"/>
              </w:rPr>
              <w:t>0.05</w:t>
            </w:r>
            <w:r>
              <w:rPr>
                <w:rFonts w:hint="eastAsia" w:ascii="DFKai-SB" w:hAnsi="DFKai-SB" w:eastAsia="DFKai-SB" w:cs="宋体"/>
                <w:color w:val="000000"/>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highlight w:val="none"/>
              </w:rPr>
            </w:pPr>
            <w:r>
              <w:rPr>
                <w:rFonts w:hint="eastAsia" w:ascii="DFKai-SB" w:hAnsi="DFKai-SB" w:eastAsia="宋体"/>
                <w:sz w:val="22"/>
                <w:szCs w:val="22"/>
                <w:highlight w:val="none"/>
                <w:lang w:val="en-US" w:eastAsia="zh-CN"/>
              </w:rPr>
              <w:t>144,000</w:t>
            </w:r>
            <w:r>
              <w:rPr>
                <w:rFonts w:hint="eastAsia" w:ascii="DFKai-SB" w:hAnsi="DFKai-SB" w:eastAsia="DFKai-SB" w:cs="宋体"/>
                <w:color w:val="000000"/>
                <w:sz w:val="22"/>
                <w:szCs w:val="22"/>
                <w:highlight w:val="none"/>
                <w:lang w:eastAsia="zh-CN"/>
              </w:rPr>
              <w:t>股</w:t>
            </w:r>
            <w:r>
              <w:rPr>
                <w:rFonts w:hint="eastAsia" w:ascii="DFKai-SB" w:hAnsi="DFKai-SB" w:eastAsia="DFKai-SB" w:cs="宋体"/>
                <w:color w:val="000000"/>
                <w:sz w:val="22"/>
                <w:szCs w:val="22"/>
                <w:highlight w:val="none"/>
              </w:rPr>
              <w:t xml:space="preserve">        </w:t>
            </w:r>
          </w:p>
          <w:p>
            <w:pPr>
              <w:spacing w:line="360" w:lineRule="auto"/>
              <w:jc w:val="center"/>
              <w:rPr>
                <w:rFonts w:ascii="DFKai-SB" w:hAnsi="DFKai-SB" w:eastAsia="DFKai-SB" w:cs="宋体"/>
                <w:color w:val="000000"/>
                <w:sz w:val="22"/>
                <w:szCs w:val="22"/>
              </w:rPr>
            </w:pPr>
            <w:r>
              <w:rPr>
                <w:rFonts w:hint="eastAsia" w:ascii="DFKai-SB" w:hAnsi="DFKai-SB" w:eastAsia="DFKai-SB" w:cs="宋体"/>
                <w:color w:val="000000"/>
                <w:sz w:val="22"/>
                <w:szCs w:val="22"/>
                <w:highlight w:val="none"/>
              </w:rPr>
              <w:t>(</w:t>
            </w:r>
            <w:r>
              <w:rPr>
                <w:rFonts w:hint="eastAsia" w:ascii="DFKai-SB" w:hAnsi="DFKai-SB" w:eastAsia="宋体"/>
                <w:sz w:val="22"/>
                <w:szCs w:val="22"/>
                <w:highlight w:val="none"/>
                <w:lang w:val="en-US" w:eastAsia="zh-CN"/>
              </w:rPr>
              <w:t>0.07</w:t>
            </w:r>
            <w:r>
              <w:rPr>
                <w:rFonts w:hint="eastAsia" w:ascii="DFKai-SB" w:hAnsi="DFKai-SB" w:eastAsia="DFKai-SB" w:cs="宋体"/>
                <w:color w:val="000000"/>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rPr>
            </w:pPr>
            <w:r>
              <w:rPr>
                <w:rFonts w:hint="eastAsia" w:ascii="DFKai-SB" w:hAnsi="DFKai-SB" w:eastAsia="DFKai-SB" w:cs="宋体"/>
                <w:b/>
                <w:color w:val="000000"/>
                <w:sz w:val="22"/>
                <w:szCs w:val="22"/>
                <w:highlight w:val="none"/>
                <w:lang w:eastAsia="zh-CN"/>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r>
              <w:rPr>
                <w:rFonts w:hint="eastAsia" w:ascii="DFKai-SB" w:hAnsi="DFKai-SB" w:eastAsia="DFKai-SB" w:cs="宋体"/>
                <w:color w:val="000000"/>
                <w:sz w:val="22"/>
                <w:szCs w:val="22"/>
              </w:rPr>
              <w:t>4.</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r>
              <w:rPr>
                <w:rFonts w:hint="eastAsia" w:ascii="DFKai-SB" w:hAnsi="DFKai-SB" w:eastAsia="DFKai-SB" w:cs="宋体"/>
                <w:color w:val="000000"/>
                <w:sz w:val="22"/>
                <w:szCs w:val="22"/>
              </w:rPr>
              <w:t>審議及批准201</w:t>
            </w:r>
            <w:r>
              <w:rPr>
                <w:rFonts w:ascii="DFKai-SB" w:hAnsi="DFKai-SB" w:eastAsia="DFKai-SB" w:cs="宋体"/>
                <w:color w:val="000000"/>
                <w:sz w:val="22"/>
                <w:szCs w:val="22"/>
              </w:rPr>
              <w:t>9</w:t>
            </w:r>
            <w:r>
              <w:rPr>
                <w:rFonts w:hint="eastAsia" w:ascii="DFKai-SB" w:hAnsi="DFKai-SB" w:eastAsia="DFKai-SB" w:cs="宋体"/>
                <w:color w:val="000000"/>
                <w:sz w:val="22"/>
                <w:szCs w:val="22"/>
              </w:rPr>
              <w:t>年度本公司經審核的財務報告。</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highlight w:val="none"/>
              </w:rPr>
            </w:pPr>
            <w:r>
              <w:rPr>
                <w:rFonts w:hint="eastAsia" w:ascii="DFKai-SB" w:hAnsi="DFKai-SB" w:eastAsia="宋体"/>
                <w:sz w:val="22"/>
                <w:szCs w:val="22"/>
                <w:highlight w:val="none"/>
                <w:lang w:val="en-US" w:eastAsia="zh-CN"/>
              </w:rPr>
              <w:t>215,756,879</w:t>
            </w:r>
            <w:r>
              <w:rPr>
                <w:rFonts w:hint="eastAsia" w:ascii="DFKai-SB" w:hAnsi="DFKai-SB" w:eastAsia="DFKai-SB" w:cs="宋体"/>
                <w:color w:val="000000"/>
                <w:sz w:val="22"/>
                <w:szCs w:val="22"/>
                <w:highlight w:val="none"/>
                <w:lang w:eastAsia="zh-CN"/>
              </w:rPr>
              <w:t>股</w:t>
            </w:r>
            <w:r>
              <w:rPr>
                <w:rFonts w:hint="eastAsia" w:ascii="DFKai-SB" w:hAnsi="DFKai-SB" w:eastAsia="DFKai-SB" w:cs="宋体"/>
                <w:color w:val="000000"/>
                <w:sz w:val="22"/>
                <w:szCs w:val="22"/>
                <w:highlight w:val="none"/>
              </w:rPr>
              <w:t xml:space="preserve">        </w:t>
            </w:r>
          </w:p>
          <w:p>
            <w:pPr>
              <w:spacing w:line="360" w:lineRule="auto"/>
              <w:jc w:val="center"/>
              <w:rPr>
                <w:rFonts w:ascii="DFKai-SB" w:hAnsi="DFKai-SB" w:eastAsia="DFKai-SB" w:cs="宋体"/>
                <w:color w:val="000000"/>
                <w:sz w:val="22"/>
                <w:szCs w:val="22"/>
              </w:rPr>
            </w:pPr>
            <w:r>
              <w:rPr>
                <w:rFonts w:hint="eastAsia" w:ascii="DFKai-SB" w:hAnsi="DFKai-SB" w:eastAsia="DFKai-SB" w:cs="宋体"/>
                <w:color w:val="000000"/>
                <w:sz w:val="22"/>
                <w:szCs w:val="22"/>
                <w:highlight w:val="none"/>
              </w:rPr>
              <w:t>(</w:t>
            </w:r>
            <w:r>
              <w:rPr>
                <w:rFonts w:hint="eastAsia" w:ascii="DFKai-SB" w:hAnsi="DFKai-SB" w:eastAsia="宋体"/>
                <w:sz w:val="22"/>
                <w:szCs w:val="22"/>
                <w:highlight w:val="none"/>
                <w:lang w:val="en-US" w:eastAsia="zh-CN"/>
              </w:rPr>
              <w:t>99.93</w:t>
            </w:r>
            <w:r>
              <w:rPr>
                <w:rFonts w:hint="eastAsia" w:ascii="DFKai-SB" w:hAnsi="DFKai-SB" w:eastAsia="DFKai-SB" w:cs="宋体"/>
                <w:color w:val="000000"/>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highlight w:val="none"/>
              </w:rPr>
            </w:pPr>
            <w:r>
              <w:rPr>
                <w:rFonts w:hint="eastAsia" w:ascii="DFKai-SB" w:hAnsi="DFKai-SB" w:eastAsia="宋体"/>
                <w:sz w:val="22"/>
                <w:szCs w:val="22"/>
                <w:highlight w:val="none"/>
                <w:lang w:val="en-US" w:eastAsia="zh-CN"/>
              </w:rPr>
              <w:t>60</w:t>
            </w:r>
            <w:r>
              <w:rPr>
                <w:rFonts w:hint="eastAsia" w:ascii="DFKai-SB" w:hAnsi="DFKai-SB" w:eastAsia="DFKai-SB" w:cs="宋体"/>
                <w:color w:val="000000"/>
                <w:sz w:val="22"/>
                <w:szCs w:val="22"/>
                <w:highlight w:val="none"/>
                <w:lang w:eastAsia="zh-CN"/>
              </w:rPr>
              <w:t>股</w:t>
            </w:r>
            <w:r>
              <w:rPr>
                <w:rFonts w:hint="eastAsia" w:ascii="DFKai-SB" w:hAnsi="DFKai-SB" w:eastAsia="DFKai-SB" w:cs="宋体"/>
                <w:color w:val="000000"/>
                <w:sz w:val="22"/>
                <w:szCs w:val="22"/>
                <w:highlight w:val="none"/>
              </w:rPr>
              <w:t xml:space="preserve">        </w:t>
            </w:r>
          </w:p>
          <w:p>
            <w:pPr>
              <w:spacing w:line="360" w:lineRule="auto"/>
              <w:jc w:val="center"/>
              <w:rPr>
                <w:rFonts w:ascii="DFKai-SB" w:hAnsi="DFKai-SB" w:eastAsia="DFKai-SB" w:cs="宋体"/>
                <w:color w:val="000000"/>
                <w:sz w:val="22"/>
                <w:szCs w:val="22"/>
              </w:rPr>
            </w:pPr>
            <w:r>
              <w:rPr>
                <w:rFonts w:hint="eastAsia" w:ascii="DFKai-SB" w:hAnsi="DFKai-SB" w:eastAsia="DFKai-SB" w:cs="宋体"/>
                <w:color w:val="000000"/>
                <w:sz w:val="22"/>
                <w:szCs w:val="22"/>
                <w:highlight w:val="none"/>
              </w:rPr>
              <w:t>(</w:t>
            </w:r>
            <w:r>
              <w:rPr>
                <w:rFonts w:hint="eastAsia" w:ascii="DFKai-SB" w:hAnsi="DFKai-SB" w:eastAsia="宋体"/>
                <w:sz w:val="22"/>
                <w:szCs w:val="22"/>
                <w:highlight w:val="none"/>
                <w:lang w:val="en-US" w:eastAsia="zh-CN"/>
              </w:rPr>
              <w:t>0</w:t>
            </w:r>
            <w:r>
              <w:rPr>
                <w:rFonts w:hint="eastAsia" w:ascii="DFKai-SB" w:hAnsi="DFKai-SB" w:eastAsia="DFKai-SB" w:cs="宋体"/>
                <w:color w:val="000000"/>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highlight w:val="none"/>
              </w:rPr>
            </w:pPr>
            <w:r>
              <w:rPr>
                <w:rFonts w:hint="eastAsia" w:ascii="DFKai-SB" w:hAnsi="DFKai-SB" w:eastAsia="宋体"/>
                <w:sz w:val="22"/>
                <w:szCs w:val="22"/>
                <w:highlight w:val="none"/>
                <w:lang w:val="en-US" w:eastAsia="zh-CN"/>
              </w:rPr>
              <w:t>144,000</w:t>
            </w:r>
            <w:r>
              <w:rPr>
                <w:rFonts w:hint="eastAsia" w:ascii="DFKai-SB" w:hAnsi="DFKai-SB" w:eastAsia="DFKai-SB" w:cs="宋体"/>
                <w:color w:val="000000"/>
                <w:sz w:val="22"/>
                <w:szCs w:val="22"/>
                <w:highlight w:val="none"/>
                <w:lang w:eastAsia="zh-CN"/>
              </w:rPr>
              <w:t>股</w:t>
            </w:r>
            <w:r>
              <w:rPr>
                <w:rFonts w:hint="eastAsia" w:ascii="DFKai-SB" w:hAnsi="DFKai-SB" w:eastAsia="DFKai-SB" w:cs="宋体"/>
                <w:color w:val="000000"/>
                <w:sz w:val="22"/>
                <w:szCs w:val="22"/>
                <w:highlight w:val="none"/>
              </w:rPr>
              <w:t xml:space="preserve">        </w:t>
            </w:r>
          </w:p>
          <w:p>
            <w:pPr>
              <w:spacing w:line="360" w:lineRule="auto"/>
              <w:jc w:val="center"/>
              <w:rPr>
                <w:rFonts w:ascii="DFKai-SB" w:hAnsi="DFKai-SB" w:eastAsia="DFKai-SB" w:cs="宋体"/>
                <w:color w:val="000000"/>
                <w:sz w:val="22"/>
                <w:szCs w:val="22"/>
              </w:rPr>
            </w:pPr>
            <w:r>
              <w:rPr>
                <w:rFonts w:hint="eastAsia" w:ascii="DFKai-SB" w:hAnsi="DFKai-SB" w:eastAsia="DFKai-SB" w:cs="宋体"/>
                <w:color w:val="000000"/>
                <w:sz w:val="22"/>
                <w:szCs w:val="22"/>
                <w:highlight w:val="none"/>
              </w:rPr>
              <w:t>(</w:t>
            </w:r>
            <w:r>
              <w:rPr>
                <w:rFonts w:hint="eastAsia" w:ascii="DFKai-SB" w:hAnsi="DFKai-SB" w:eastAsia="宋体"/>
                <w:sz w:val="22"/>
                <w:szCs w:val="22"/>
                <w:highlight w:val="none"/>
                <w:lang w:val="en-US" w:eastAsia="zh-CN"/>
              </w:rPr>
              <w:t>0.07</w:t>
            </w:r>
            <w:bookmarkStart w:id="10" w:name="_GoBack"/>
            <w:bookmarkEnd w:id="10"/>
            <w:r>
              <w:rPr>
                <w:rFonts w:hint="eastAsia" w:ascii="DFKai-SB" w:hAnsi="DFKai-SB" w:eastAsia="DFKai-SB" w:cs="宋体"/>
                <w:color w:val="000000"/>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rPr>
            </w:pPr>
            <w:r>
              <w:rPr>
                <w:rFonts w:hint="eastAsia" w:ascii="DFKai-SB" w:hAnsi="DFKai-SB" w:eastAsia="DFKai-SB" w:cs="宋体"/>
                <w:b/>
                <w:color w:val="000000"/>
                <w:sz w:val="22"/>
                <w:szCs w:val="22"/>
                <w:highlight w:val="none"/>
                <w:lang w:eastAsia="zh-CN"/>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r>
              <w:rPr>
                <w:rFonts w:hint="eastAsia" w:ascii="DFKai-SB" w:hAnsi="DFKai-SB" w:eastAsia="DFKai-SB" w:cs="宋体"/>
                <w:color w:val="000000"/>
                <w:sz w:val="22"/>
                <w:szCs w:val="22"/>
              </w:rPr>
              <w:t>5.</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r>
              <w:rPr>
                <w:rFonts w:hint="eastAsia" w:ascii="DFKai-SB" w:hAnsi="DFKai-SB" w:eastAsia="DFKai-SB" w:cs="宋体"/>
                <w:color w:val="000000"/>
                <w:sz w:val="22"/>
                <w:szCs w:val="22"/>
              </w:rPr>
              <w:t>審議及批准201</w:t>
            </w:r>
            <w:r>
              <w:rPr>
                <w:rFonts w:ascii="DFKai-SB" w:hAnsi="DFKai-SB" w:eastAsia="DFKai-SB" w:cs="宋体"/>
                <w:color w:val="000000"/>
                <w:sz w:val="22"/>
                <w:szCs w:val="22"/>
              </w:rPr>
              <w:t>9</w:t>
            </w:r>
            <w:r>
              <w:rPr>
                <w:rFonts w:hint="eastAsia" w:ascii="DFKai-SB" w:hAnsi="DFKai-SB" w:eastAsia="DFKai-SB" w:cs="宋体"/>
                <w:color w:val="000000"/>
                <w:sz w:val="22"/>
                <w:szCs w:val="22"/>
              </w:rPr>
              <w:t>年度利潤分配方案。</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highlight w:val="none"/>
              </w:rPr>
            </w:pPr>
            <w:r>
              <w:rPr>
                <w:rFonts w:hint="eastAsia" w:ascii="DFKai-SB" w:hAnsi="DFKai-SB" w:eastAsia="宋体"/>
                <w:sz w:val="22"/>
                <w:szCs w:val="22"/>
                <w:highlight w:val="none"/>
                <w:lang w:val="en-US" w:eastAsia="zh-CN"/>
              </w:rPr>
              <w:t>215,900,879</w:t>
            </w:r>
            <w:r>
              <w:rPr>
                <w:rFonts w:hint="eastAsia" w:ascii="DFKai-SB" w:hAnsi="DFKai-SB" w:eastAsia="DFKai-SB" w:cs="宋体"/>
                <w:color w:val="000000"/>
                <w:sz w:val="22"/>
                <w:szCs w:val="22"/>
                <w:highlight w:val="none"/>
                <w:lang w:eastAsia="zh-CN"/>
              </w:rPr>
              <w:t>股</w:t>
            </w:r>
            <w:r>
              <w:rPr>
                <w:rFonts w:hint="eastAsia" w:ascii="DFKai-SB" w:hAnsi="DFKai-SB" w:eastAsia="DFKai-SB" w:cs="宋体"/>
                <w:color w:val="000000"/>
                <w:sz w:val="22"/>
                <w:szCs w:val="22"/>
                <w:highlight w:val="none"/>
              </w:rPr>
              <w:t xml:space="preserve">        </w:t>
            </w:r>
          </w:p>
          <w:p>
            <w:pPr>
              <w:spacing w:line="360" w:lineRule="auto"/>
              <w:jc w:val="center"/>
              <w:rPr>
                <w:rFonts w:ascii="DFKai-SB" w:hAnsi="DFKai-SB" w:eastAsia="DFKai-SB" w:cs="宋体"/>
                <w:color w:val="000000"/>
                <w:sz w:val="22"/>
                <w:szCs w:val="22"/>
              </w:rPr>
            </w:pPr>
            <w:r>
              <w:rPr>
                <w:rFonts w:hint="eastAsia" w:ascii="DFKai-SB" w:hAnsi="DFKai-SB" w:eastAsia="DFKai-SB" w:cs="宋体"/>
                <w:color w:val="000000"/>
                <w:sz w:val="22"/>
                <w:szCs w:val="22"/>
                <w:highlight w:val="none"/>
              </w:rPr>
              <w:t>(</w:t>
            </w:r>
            <w:r>
              <w:rPr>
                <w:rFonts w:hint="eastAsia" w:ascii="DFKai-SB" w:hAnsi="DFKai-SB" w:eastAsia="宋体"/>
                <w:sz w:val="22"/>
                <w:szCs w:val="22"/>
                <w:highlight w:val="none"/>
                <w:lang w:val="en-US" w:eastAsia="zh-CN"/>
              </w:rPr>
              <w:t>100.00</w:t>
            </w:r>
            <w:r>
              <w:rPr>
                <w:rFonts w:hint="eastAsia" w:ascii="DFKai-SB" w:hAnsi="DFKai-SB" w:eastAsia="DFKai-SB" w:cs="宋体"/>
                <w:color w:val="000000"/>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highlight w:val="none"/>
              </w:rPr>
            </w:pPr>
            <w:r>
              <w:rPr>
                <w:rFonts w:hint="eastAsia" w:ascii="DFKai-SB" w:hAnsi="DFKai-SB" w:eastAsia="宋体"/>
                <w:sz w:val="22"/>
                <w:szCs w:val="22"/>
                <w:highlight w:val="none"/>
                <w:lang w:val="en-US" w:eastAsia="zh-CN"/>
              </w:rPr>
              <w:t>60</w:t>
            </w:r>
            <w:r>
              <w:rPr>
                <w:rFonts w:hint="eastAsia" w:ascii="DFKai-SB" w:hAnsi="DFKai-SB" w:eastAsia="DFKai-SB" w:cs="宋体"/>
                <w:color w:val="000000"/>
                <w:sz w:val="22"/>
                <w:szCs w:val="22"/>
                <w:highlight w:val="none"/>
                <w:lang w:eastAsia="zh-CN"/>
              </w:rPr>
              <w:t>股</w:t>
            </w:r>
            <w:r>
              <w:rPr>
                <w:rFonts w:hint="eastAsia" w:ascii="DFKai-SB" w:hAnsi="DFKai-SB" w:eastAsia="DFKai-SB" w:cs="宋体"/>
                <w:color w:val="000000"/>
                <w:sz w:val="22"/>
                <w:szCs w:val="22"/>
                <w:highlight w:val="none"/>
              </w:rPr>
              <w:t xml:space="preserve">        </w:t>
            </w:r>
          </w:p>
          <w:p>
            <w:pPr>
              <w:spacing w:line="360" w:lineRule="auto"/>
              <w:jc w:val="center"/>
              <w:rPr>
                <w:rFonts w:ascii="DFKai-SB" w:hAnsi="DFKai-SB" w:eastAsia="DFKai-SB" w:cs="宋体"/>
                <w:color w:val="000000"/>
                <w:sz w:val="22"/>
                <w:szCs w:val="22"/>
              </w:rPr>
            </w:pPr>
            <w:r>
              <w:rPr>
                <w:rFonts w:hint="eastAsia" w:ascii="DFKai-SB" w:hAnsi="DFKai-SB" w:eastAsia="DFKai-SB" w:cs="宋体"/>
                <w:color w:val="000000"/>
                <w:sz w:val="22"/>
                <w:szCs w:val="22"/>
                <w:highlight w:val="none"/>
              </w:rPr>
              <w:t>(</w:t>
            </w:r>
            <w:r>
              <w:rPr>
                <w:rFonts w:hint="eastAsia" w:ascii="DFKai-SB" w:hAnsi="DFKai-SB" w:eastAsia="宋体"/>
                <w:sz w:val="22"/>
                <w:szCs w:val="22"/>
                <w:highlight w:val="none"/>
                <w:lang w:val="en-US" w:eastAsia="zh-CN"/>
              </w:rPr>
              <w:t>0</w:t>
            </w:r>
            <w:r>
              <w:rPr>
                <w:rFonts w:hint="eastAsia" w:ascii="DFKai-SB" w:hAnsi="DFKai-SB" w:eastAsia="DFKai-SB" w:cs="宋体"/>
                <w:color w:val="000000"/>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highlight w:val="none"/>
              </w:rPr>
            </w:pPr>
            <w:r>
              <w:rPr>
                <w:rFonts w:hint="eastAsia" w:ascii="DFKai-SB" w:hAnsi="DFKai-SB" w:eastAsia="宋体"/>
                <w:sz w:val="22"/>
                <w:szCs w:val="22"/>
                <w:highlight w:val="none"/>
                <w:lang w:val="en-US" w:eastAsia="zh-CN"/>
              </w:rPr>
              <w:t>0</w:t>
            </w:r>
            <w:r>
              <w:rPr>
                <w:rFonts w:hint="eastAsia" w:ascii="DFKai-SB" w:hAnsi="DFKai-SB" w:eastAsia="DFKai-SB" w:cs="宋体"/>
                <w:color w:val="000000"/>
                <w:sz w:val="22"/>
                <w:szCs w:val="22"/>
                <w:highlight w:val="none"/>
                <w:lang w:eastAsia="zh-CN"/>
              </w:rPr>
              <w:t>股</w:t>
            </w:r>
            <w:r>
              <w:rPr>
                <w:rFonts w:hint="eastAsia" w:ascii="DFKai-SB" w:hAnsi="DFKai-SB" w:eastAsia="DFKai-SB" w:cs="宋体"/>
                <w:color w:val="000000"/>
                <w:sz w:val="22"/>
                <w:szCs w:val="22"/>
                <w:highlight w:val="none"/>
              </w:rPr>
              <w:t xml:space="preserve">        </w:t>
            </w:r>
          </w:p>
          <w:p>
            <w:pPr>
              <w:spacing w:line="360" w:lineRule="auto"/>
              <w:jc w:val="center"/>
              <w:rPr>
                <w:rFonts w:ascii="DFKai-SB" w:hAnsi="DFKai-SB" w:eastAsia="DFKai-SB" w:cs="宋体"/>
                <w:color w:val="000000"/>
                <w:sz w:val="22"/>
                <w:szCs w:val="22"/>
              </w:rPr>
            </w:pPr>
            <w:r>
              <w:rPr>
                <w:rFonts w:hint="eastAsia" w:ascii="DFKai-SB" w:hAnsi="DFKai-SB" w:eastAsia="DFKai-SB" w:cs="宋体"/>
                <w:color w:val="000000"/>
                <w:sz w:val="22"/>
                <w:szCs w:val="22"/>
                <w:highlight w:val="none"/>
              </w:rPr>
              <w:t>(</w:t>
            </w:r>
            <w:r>
              <w:rPr>
                <w:rFonts w:hint="eastAsia" w:ascii="DFKai-SB" w:hAnsi="DFKai-SB" w:eastAsia="宋体"/>
                <w:sz w:val="22"/>
                <w:szCs w:val="22"/>
                <w:highlight w:val="none"/>
                <w:lang w:val="en-US" w:eastAsia="zh-CN"/>
              </w:rPr>
              <w:t>0</w:t>
            </w:r>
            <w:r>
              <w:rPr>
                <w:rFonts w:hint="eastAsia" w:ascii="DFKai-SB" w:hAnsi="DFKai-SB" w:eastAsia="DFKai-SB" w:cs="宋体"/>
                <w:color w:val="000000"/>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rPr>
            </w:pPr>
            <w:r>
              <w:rPr>
                <w:rFonts w:hint="eastAsia" w:ascii="DFKai-SB" w:hAnsi="DFKai-SB" w:eastAsia="DFKai-SB" w:cs="宋体"/>
                <w:b/>
                <w:color w:val="000000"/>
                <w:sz w:val="22"/>
                <w:szCs w:val="22"/>
                <w:highlight w:val="none"/>
                <w:lang w:eastAsia="zh-CN"/>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r>
              <w:rPr>
                <w:rFonts w:hint="eastAsia" w:ascii="DFKai-SB" w:hAnsi="DFKai-SB" w:eastAsia="DFKai-SB" w:cs="宋体"/>
                <w:color w:val="000000"/>
                <w:sz w:val="22"/>
                <w:szCs w:val="22"/>
              </w:rPr>
              <w:t>6.</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r>
              <w:rPr>
                <w:rFonts w:hint="eastAsia" w:ascii="DFKai-SB" w:hAnsi="DFKai-SB" w:eastAsia="DFKai-SB" w:cs="宋体"/>
                <w:color w:val="000000"/>
                <w:sz w:val="22"/>
                <w:szCs w:val="22"/>
              </w:rPr>
              <w:t>審議及批准續聘信永中和會計師事務所（特殊普通合夥）為本公司20</w:t>
            </w:r>
            <w:r>
              <w:rPr>
                <w:rFonts w:ascii="DFKai-SB" w:hAnsi="DFKai-SB" w:eastAsia="DFKai-SB" w:cs="宋体"/>
                <w:color w:val="000000"/>
                <w:sz w:val="22"/>
                <w:szCs w:val="22"/>
              </w:rPr>
              <w:t>20</w:t>
            </w:r>
            <w:r>
              <w:rPr>
                <w:rFonts w:hint="eastAsia" w:ascii="DFKai-SB" w:hAnsi="DFKai-SB" w:eastAsia="DFKai-SB" w:cs="宋体"/>
                <w:color w:val="000000"/>
                <w:sz w:val="22"/>
                <w:szCs w:val="22"/>
              </w:rPr>
              <w:t>年度審計師，並授權董事會確定其酬金。</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rPr>
          <w:trHeight w:val="882" w:hRule="atLeast"/>
        </w:trPr>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highlight w:val="none"/>
              </w:rPr>
            </w:pPr>
            <w:r>
              <w:rPr>
                <w:rFonts w:hint="eastAsia" w:ascii="DFKai-SB" w:hAnsi="DFKai-SB" w:eastAsia="宋体"/>
                <w:sz w:val="22"/>
                <w:szCs w:val="22"/>
                <w:highlight w:val="none"/>
                <w:lang w:val="en-US" w:eastAsia="zh-CN"/>
              </w:rPr>
              <w:t>214,219,979</w:t>
            </w:r>
            <w:r>
              <w:rPr>
                <w:rFonts w:hint="eastAsia" w:ascii="DFKai-SB" w:hAnsi="DFKai-SB" w:eastAsia="DFKai-SB" w:cs="宋体"/>
                <w:color w:val="000000"/>
                <w:sz w:val="22"/>
                <w:szCs w:val="22"/>
                <w:highlight w:val="none"/>
                <w:lang w:eastAsia="zh-CN"/>
              </w:rPr>
              <w:t>股</w:t>
            </w:r>
            <w:r>
              <w:rPr>
                <w:rFonts w:hint="eastAsia" w:ascii="DFKai-SB" w:hAnsi="DFKai-SB" w:eastAsia="DFKai-SB" w:cs="宋体"/>
                <w:color w:val="000000"/>
                <w:sz w:val="22"/>
                <w:szCs w:val="22"/>
                <w:highlight w:val="none"/>
              </w:rPr>
              <w:t xml:space="preserve">        </w:t>
            </w:r>
          </w:p>
          <w:p>
            <w:pPr>
              <w:spacing w:line="360" w:lineRule="auto"/>
              <w:jc w:val="center"/>
              <w:rPr>
                <w:rFonts w:ascii="DFKai-SB" w:hAnsi="DFKai-SB" w:eastAsia="DFKai-SB" w:cs="宋体"/>
                <w:color w:val="000000"/>
                <w:sz w:val="22"/>
                <w:szCs w:val="22"/>
              </w:rPr>
            </w:pPr>
            <w:r>
              <w:rPr>
                <w:rFonts w:hint="eastAsia" w:ascii="DFKai-SB" w:hAnsi="DFKai-SB" w:eastAsia="DFKai-SB" w:cs="宋体"/>
                <w:color w:val="000000"/>
                <w:sz w:val="22"/>
                <w:szCs w:val="22"/>
                <w:highlight w:val="none"/>
              </w:rPr>
              <w:t>(</w:t>
            </w:r>
            <w:r>
              <w:rPr>
                <w:rFonts w:hint="eastAsia" w:ascii="DFKai-SB" w:hAnsi="DFKai-SB" w:eastAsia="宋体" w:cs="宋体"/>
                <w:color w:val="000000"/>
                <w:sz w:val="22"/>
                <w:szCs w:val="22"/>
                <w:highlight w:val="none"/>
                <w:lang w:val="en-US" w:eastAsia="zh-CN"/>
              </w:rPr>
              <w:t>99.22</w:t>
            </w:r>
            <w:r>
              <w:rPr>
                <w:rFonts w:hint="eastAsia" w:ascii="DFKai-SB" w:hAnsi="DFKai-SB" w:eastAsia="DFKai-SB" w:cs="宋体"/>
                <w:color w:val="000000"/>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highlight w:val="none"/>
              </w:rPr>
            </w:pPr>
            <w:r>
              <w:rPr>
                <w:rFonts w:hint="eastAsia" w:ascii="DFKai-SB" w:hAnsi="DFKai-SB" w:eastAsia="宋体"/>
                <w:sz w:val="22"/>
                <w:szCs w:val="22"/>
                <w:highlight w:val="none"/>
                <w:lang w:val="en-US" w:eastAsia="zh-CN"/>
              </w:rPr>
              <w:t>1,680,960</w:t>
            </w:r>
            <w:r>
              <w:rPr>
                <w:rFonts w:hint="eastAsia" w:ascii="DFKai-SB" w:hAnsi="DFKai-SB" w:eastAsia="DFKai-SB" w:cs="宋体"/>
                <w:color w:val="000000"/>
                <w:sz w:val="22"/>
                <w:szCs w:val="22"/>
                <w:highlight w:val="none"/>
                <w:lang w:eastAsia="zh-CN"/>
              </w:rPr>
              <w:t>股</w:t>
            </w:r>
            <w:r>
              <w:rPr>
                <w:rFonts w:hint="eastAsia" w:ascii="DFKai-SB" w:hAnsi="DFKai-SB" w:eastAsia="DFKai-SB" w:cs="宋体"/>
                <w:color w:val="000000"/>
                <w:sz w:val="22"/>
                <w:szCs w:val="22"/>
                <w:highlight w:val="none"/>
              </w:rPr>
              <w:t xml:space="preserve">        </w:t>
            </w:r>
          </w:p>
          <w:p>
            <w:pPr>
              <w:spacing w:line="360" w:lineRule="auto"/>
              <w:jc w:val="center"/>
              <w:rPr>
                <w:rFonts w:ascii="DFKai-SB" w:hAnsi="DFKai-SB" w:eastAsia="DFKai-SB" w:cs="宋体"/>
                <w:color w:val="000000"/>
                <w:sz w:val="22"/>
                <w:szCs w:val="22"/>
              </w:rPr>
            </w:pPr>
            <w:r>
              <w:rPr>
                <w:rFonts w:hint="eastAsia" w:ascii="DFKai-SB" w:hAnsi="DFKai-SB" w:eastAsia="DFKai-SB" w:cs="宋体"/>
                <w:color w:val="000000"/>
                <w:sz w:val="22"/>
                <w:szCs w:val="22"/>
                <w:highlight w:val="none"/>
              </w:rPr>
              <w:t>(</w:t>
            </w:r>
            <w:r>
              <w:rPr>
                <w:rFonts w:hint="eastAsia" w:ascii="DFKai-SB" w:hAnsi="DFKai-SB" w:eastAsia="宋体"/>
                <w:sz w:val="22"/>
                <w:szCs w:val="22"/>
                <w:highlight w:val="none"/>
                <w:lang w:val="en-US" w:eastAsia="zh-CN"/>
              </w:rPr>
              <w:t>0.78</w:t>
            </w:r>
            <w:r>
              <w:rPr>
                <w:rFonts w:hint="eastAsia" w:ascii="DFKai-SB" w:hAnsi="DFKai-SB" w:eastAsia="DFKai-SB" w:cs="宋体"/>
                <w:color w:val="000000"/>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highlight w:val="none"/>
              </w:rPr>
            </w:pPr>
            <w:r>
              <w:rPr>
                <w:rFonts w:hint="eastAsia" w:ascii="DFKai-SB" w:hAnsi="DFKai-SB" w:eastAsia="宋体"/>
                <w:sz w:val="22"/>
                <w:szCs w:val="22"/>
                <w:highlight w:val="none"/>
                <w:lang w:val="en-US" w:eastAsia="zh-CN"/>
              </w:rPr>
              <w:t>0</w:t>
            </w:r>
            <w:r>
              <w:rPr>
                <w:rFonts w:hint="eastAsia" w:ascii="DFKai-SB" w:hAnsi="DFKai-SB" w:eastAsia="DFKai-SB" w:cs="宋体"/>
                <w:color w:val="000000"/>
                <w:sz w:val="22"/>
                <w:szCs w:val="22"/>
                <w:highlight w:val="none"/>
                <w:lang w:eastAsia="zh-CN"/>
              </w:rPr>
              <w:t>股</w:t>
            </w:r>
            <w:r>
              <w:rPr>
                <w:rFonts w:hint="eastAsia" w:ascii="DFKai-SB" w:hAnsi="DFKai-SB" w:eastAsia="DFKai-SB" w:cs="宋体"/>
                <w:color w:val="000000"/>
                <w:sz w:val="22"/>
                <w:szCs w:val="22"/>
                <w:highlight w:val="none"/>
              </w:rPr>
              <w:t xml:space="preserve">        </w:t>
            </w:r>
          </w:p>
          <w:p>
            <w:pPr>
              <w:spacing w:line="360" w:lineRule="auto"/>
              <w:jc w:val="center"/>
              <w:rPr>
                <w:rFonts w:ascii="DFKai-SB" w:hAnsi="DFKai-SB" w:eastAsia="DFKai-SB" w:cs="宋体"/>
                <w:color w:val="000000"/>
                <w:sz w:val="22"/>
                <w:szCs w:val="22"/>
              </w:rPr>
            </w:pPr>
            <w:r>
              <w:rPr>
                <w:rFonts w:hint="eastAsia" w:ascii="DFKai-SB" w:hAnsi="DFKai-SB" w:eastAsia="DFKai-SB" w:cs="宋体"/>
                <w:color w:val="000000"/>
                <w:sz w:val="22"/>
                <w:szCs w:val="22"/>
                <w:highlight w:val="none"/>
              </w:rPr>
              <w:t>(</w:t>
            </w:r>
            <w:r>
              <w:rPr>
                <w:rFonts w:hint="eastAsia" w:ascii="DFKai-SB" w:hAnsi="DFKai-SB" w:eastAsia="宋体"/>
                <w:sz w:val="22"/>
                <w:szCs w:val="22"/>
                <w:highlight w:val="none"/>
                <w:lang w:val="en-US" w:eastAsia="zh-CN"/>
              </w:rPr>
              <w:t>0</w:t>
            </w:r>
            <w:r>
              <w:rPr>
                <w:rFonts w:hint="eastAsia" w:ascii="DFKai-SB" w:hAnsi="DFKai-SB" w:eastAsia="DFKai-SB" w:cs="宋体"/>
                <w:color w:val="000000"/>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rPr>
            </w:pPr>
            <w:r>
              <w:rPr>
                <w:rFonts w:hint="eastAsia" w:ascii="DFKai-SB" w:hAnsi="DFKai-SB" w:eastAsia="DFKai-SB" w:cs="宋体"/>
                <w:b/>
                <w:color w:val="000000"/>
                <w:sz w:val="22"/>
                <w:szCs w:val="22"/>
                <w:highlight w:val="none"/>
                <w:lang w:eastAsia="zh-CN"/>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r>
              <w:rPr>
                <w:rFonts w:hint="eastAsia" w:ascii="DFKai-SB" w:hAnsi="DFKai-SB" w:eastAsia="DFKai-SB" w:cs="宋体"/>
                <w:color w:val="000000"/>
                <w:sz w:val="22"/>
                <w:szCs w:val="22"/>
              </w:rPr>
              <w:t>7.</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r>
              <w:rPr>
                <w:rFonts w:hint="eastAsia" w:ascii="DFKai-SB" w:hAnsi="DFKai-SB" w:eastAsia="DFKai-SB" w:cs="宋体"/>
                <w:color w:val="000000"/>
                <w:sz w:val="22"/>
                <w:szCs w:val="22"/>
              </w:rPr>
              <w:t>審議及批准20</w:t>
            </w:r>
            <w:r>
              <w:rPr>
                <w:rFonts w:ascii="DFKai-SB" w:hAnsi="DFKai-SB" w:eastAsia="DFKai-SB" w:cs="宋体"/>
                <w:color w:val="000000"/>
                <w:sz w:val="22"/>
                <w:szCs w:val="22"/>
              </w:rPr>
              <w:t>20</w:t>
            </w:r>
            <w:r>
              <w:rPr>
                <w:rFonts w:hint="eastAsia" w:ascii="DFKai-SB" w:hAnsi="DFKai-SB" w:eastAsia="DFKai-SB" w:cs="宋体"/>
                <w:color w:val="000000"/>
                <w:sz w:val="22"/>
                <w:szCs w:val="22"/>
              </w:rPr>
              <w:t>年度本公司董事及監事酬金。</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highlight w:val="none"/>
              </w:rPr>
            </w:pPr>
            <w:r>
              <w:rPr>
                <w:rFonts w:hint="eastAsia" w:ascii="DFKai-SB" w:hAnsi="DFKai-SB" w:eastAsia="宋体"/>
                <w:sz w:val="22"/>
                <w:szCs w:val="22"/>
                <w:highlight w:val="none"/>
                <w:lang w:val="en-US" w:eastAsia="zh-CN"/>
              </w:rPr>
              <w:t>215,857,779</w:t>
            </w:r>
            <w:r>
              <w:rPr>
                <w:rFonts w:hint="eastAsia" w:ascii="DFKai-SB" w:hAnsi="DFKai-SB" w:eastAsia="DFKai-SB" w:cs="宋体"/>
                <w:color w:val="000000"/>
                <w:sz w:val="22"/>
                <w:szCs w:val="22"/>
                <w:highlight w:val="none"/>
                <w:lang w:eastAsia="zh-CN"/>
              </w:rPr>
              <w:t>股</w:t>
            </w:r>
            <w:r>
              <w:rPr>
                <w:rFonts w:hint="eastAsia" w:ascii="DFKai-SB" w:hAnsi="DFKai-SB" w:eastAsia="DFKai-SB" w:cs="宋体"/>
                <w:color w:val="000000"/>
                <w:sz w:val="22"/>
                <w:szCs w:val="22"/>
                <w:highlight w:val="none"/>
              </w:rPr>
              <w:t xml:space="preserve">        </w:t>
            </w:r>
          </w:p>
          <w:p>
            <w:pPr>
              <w:spacing w:line="360" w:lineRule="auto"/>
              <w:jc w:val="center"/>
              <w:rPr>
                <w:rFonts w:ascii="DFKai-SB" w:hAnsi="DFKai-SB" w:eastAsia="DFKai-SB" w:cs="宋体"/>
                <w:color w:val="000000"/>
                <w:sz w:val="22"/>
                <w:szCs w:val="22"/>
              </w:rPr>
            </w:pPr>
            <w:r>
              <w:rPr>
                <w:rFonts w:hint="eastAsia" w:ascii="DFKai-SB" w:hAnsi="DFKai-SB" w:eastAsia="DFKai-SB" w:cs="宋体"/>
                <w:color w:val="000000"/>
                <w:sz w:val="22"/>
                <w:szCs w:val="22"/>
                <w:highlight w:val="none"/>
              </w:rPr>
              <w:t>(</w:t>
            </w:r>
            <w:r>
              <w:rPr>
                <w:rFonts w:hint="eastAsia" w:ascii="DFKai-SB" w:hAnsi="DFKai-SB" w:eastAsia="宋体"/>
                <w:sz w:val="22"/>
                <w:szCs w:val="22"/>
                <w:highlight w:val="none"/>
                <w:lang w:val="en-US" w:eastAsia="zh-CN"/>
              </w:rPr>
              <w:t>99.98</w:t>
            </w:r>
            <w:r>
              <w:rPr>
                <w:rFonts w:hint="eastAsia" w:ascii="DFKai-SB" w:hAnsi="DFKai-SB" w:eastAsia="DFKai-SB" w:cs="宋体"/>
                <w:color w:val="000000"/>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highlight w:val="none"/>
              </w:rPr>
            </w:pPr>
            <w:r>
              <w:rPr>
                <w:rFonts w:hint="eastAsia" w:ascii="DFKai-SB" w:hAnsi="DFKai-SB" w:eastAsia="宋体"/>
                <w:sz w:val="22"/>
                <w:szCs w:val="22"/>
                <w:highlight w:val="none"/>
                <w:lang w:val="en-US" w:eastAsia="zh-CN"/>
              </w:rPr>
              <w:t>43,160</w:t>
            </w:r>
            <w:r>
              <w:rPr>
                <w:rFonts w:hint="eastAsia" w:ascii="DFKai-SB" w:hAnsi="DFKai-SB" w:eastAsia="DFKai-SB" w:cs="宋体"/>
                <w:color w:val="000000"/>
                <w:sz w:val="22"/>
                <w:szCs w:val="22"/>
                <w:highlight w:val="none"/>
                <w:lang w:eastAsia="zh-CN"/>
              </w:rPr>
              <w:t>股</w:t>
            </w:r>
            <w:r>
              <w:rPr>
                <w:rFonts w:hint="eastAsia" w:ascii="DFKai-SB" w:hAnsi="DFKai-SB" w:eastAsia="DFKai-SB" w:cs="宋体"/>
                <w:color w:val="000000"/>
                <w:sz w:val="22"/>
                <w:szCs w:val="22"/>
                <w:highlight w:val="none"/>
              </w:rPr>
              <w:t xml:space="preserve">        </w:t>
            </w:r>
          </w:p>
          <w:p>
            <w:pPr>
              <w:spacing w:line="360" w:lineRule="auto"/>
              <w:jc w:val="center"/>
              <w:rPr>
                <w:rFonts w:ascii="DFKai-SB" w:hAnsi="DFKai-SB" w:eastAsia="DFKai-SB" w:cs="宋体"/>
                <w:color w:val="000000"/>
                <w:sz w:val="22"/>
                <w:szCs w:val="22"/>
              </w:rPr>
            </w:pPr>
            <w:r>
              <w:rPr>
                <w:rFonts w:hint="eastAsia" w:ascii="DFKai-SB" w:hAnsi="DFKai-SB" w:eastAsia="DFKai-SB" w:cs="宋体"/>
                <w:color w:val="000000"/>
                <w:sz w:val="22"/>
                <w:szCs w:val="22"/>
                <w:highlight w:val="none"/>
              </w:rPr>
              <w:t>(</w:t>
            </w:r>
            <w:r>
              <w:rPr>
                <w:rFonts w:hint="eastAsia" w:ascii="DFKai-SB" w:hAnsi="DFKai-SB" w:eastAsia="宋体"/>
                <w:sz w:val="22"/>
                <w:szCs w:val="22"/>
                <w:highlight w:val="none"/>
                <w:lang w:val="en-US" w:eastAsia="zh-CN"/>
              </w:rPr>
              <w:t>0.02</w:t>
            </w:r>
            <w:r>
              <w:rPr>
                <w:rFonts w:hint="eastAsia" w:ascii="DFKai-SB" w:hAnsi="DFKai-SB" w:eastAsia="DFKai-SB" w:cs="宋体"/>
                <w:color w:val="000000"/>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highlight w:val="none"/>
              </w:rPr>
            </w:pPr>
            <w:r>
              <w:rPr>
                <w:rFonts w:hint="eastAsia" w:ascii="DFKai-SB" w:hAnsi="DFKai-SB" w:eastAsia="宋体"/>
                <w:sz w:val="22"/>
                <w:szCs w:val="22"/>
                <w:highlight w:val="none"/>
                <w:lang w:val="en-US" w:eastAsia="zh-CN"/>
              </w:rPr>
              <w:t>0</w:t>
            </w:r>
            <w:r>
              <w:rPr>
                <w:rFonts w:hint="eastAsia" w:ascii="DFKai-SB" w:hAnsi="DFKai-SB" w:eastAsia="DFKai-SB" w:cs="宋体"/>
                <w:color w:val="000000"/>
                <w:sz w:val="22"/>
                <w:szCs w:val="22"/>
                <w:highlight w:val="none"/>
                <w:lang w:eastAsia="zh-CN"/>
              </w:rPr>
              <w:t>股</w:t>
            </w:r>
            <w:r>
              <w:rPr>
                <w:rFonts w:hint="eastAsia" w:ascii="DFKai-SB" w:hAnsi="DFKai-SB" w:eastAsia="DFKai-SB" w:cs="宋体"/>
                <w:color w:val="000000"/>
                <w:sz w:val="22"/>
                <w:szCs w:val="22"/>
                <w:highlight w:val="none"/>
              </w:rPr>
              <w:t xml:space="preserve">        </w:t>
            </w:r>
          </w:p>
          <w:p>
            <w:pPr>
              <w:spacing w:line="360" w:lineRule="auto"/>
              <w:jc w:val="center"/>
              <w:rPr>
                <w:rFonts w:ascii="DFKai-SB" w:hAnsi="DFKai-SB" w:eastAsia="DFKai-SB" w:cs="宋体"/>
                <w:color w:val="000000"/>
                <w:sz w:val="22"/>
                <w:szCs w:val="22"/>
              </w:rPr>
            </w:pPr>
            <w:r>
              <w:rPr>
                <w:rFonts w:hint="eastAsia" w:ascii="DFKai-SB" w:hAnsi="DFKai-SB" w:eastAsia="DFKai-SB" w:cs="宋体"/>
                <w:color w:val="000000"/>
                <w:sz w:val="22"/>
                <w:szCs w:val="22"/>
                <w:highlight w:val="none"/>
              </w:rPr>
              <w:t>(</w:t>
            </w:r>
            <w:r>
              <w:rPr>
                <w:rFonts w:hint="eastAsia" w:ascii="DFKai-SB" w:hAnsi="DFKai-SB" w:eastAsia="宋体"/>
                <w:sz w:val="22"/>
                <w:szCs w:val="22"/>
                <w:highlight w:val="none"/>
                <w:lang w:val="en-US" w:eastAsia="zh-CN"/>
              </w:rPr>
              <w:t>0</w:t>
            </w:r>
            <w:r>
              <w:rPr>
                <w:rFonts w:hint="eastAsia" w:ascii="DFKai-SB" w:hAnsi="DFKai-SB" w:eastAsia="DFKai-SB" w:cs="宋体"/>
                <w:color w:val="000000"/>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rPr>
            </w:pPr>
            <w:r>
              <w:rPr>
                <w:rFonts w:hint="eastAsia" w:ascii="DFKai-SB" w:hAnsi="DFKai-SB" w:eastAsia="DFKai-SB" w:cs="宋体"/>
                <w:b/>
                <w:color w:val="000000"/>
                <w:sz w:val="22"/>
                <w:szCs w:val="22"/>
                <w:highlight w:val="none"/>
                <w:lang w:eastAsia="zh-CN"/>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9757" w:type="dxa"/>
            <w:gridSpan w:val="6"/>
            <w:tcBorders>
              <w:top w:val="single" w:color="00000A" w:sz="4" w:space="0"/>
              <w:left w:val="single" w:color="00000A" w:sz="4" w:space="0"/>
              <w:bottom w:val="single" w:color="00000A" w:sz="4" w:space="0"/>
            </w:tcBorders>
            <w:tcMar>
              <w:left w:w="0" w:type="dxa"/>
            </w:tcMar>
          </w:tcPr>
          <w:p>
            <w:pPr>
              <w:spacing w:line="360" w:lineRule="auto"/>
              <w:jc w:val="center"/>
              <w:rPr>
                <w:rFonts w:ascii="DFKai-SB" w:hAnsi="DFKai-SB" w:eastAsia="DFKai-SB" w:cs="宋体"/>
                <w:b/>
                <w:color w:val="000000"/>
                <w:sz w:val="22"/>
                <w:szCs w:val="22"/>
                <w:lang w:eastAsia="zh-CN"/>
              </w:rPr>
            </w:pPr>
            <w:r>
              <w:rPr>
                <w:rFonts w:hint="eastAsia" w:ascii="DFKai-SB" w:hAnsi="DFKai-SB" w:eastAsia="DFKai-SB" w:cs="宋体"/>
                <w:b/>
                <w:color w:val="000000"/>
                <w:sz w:val="22"/>
                <w:szCs w:val="22"/>
                <w:lang w:eastAsia="zh-CN"/>
              </w:rPr>
              <w:t>特別決議案</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r>
              <w:rPr>
                <w:rFonts w:ascii="DFKai-SB" w:hAnsi="DFKai-SB" w:eastAsia="DFKai-SB" w:cs="宋体"/>
                <w:color w:val="000000"/>
                <w:sz w:val="22"/>
                <w:szCs w:val="22"/>
              </w:rPr>
              <w:t>8.</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tcPr>
          <w:p>
            <w:pPr>
              <w:spacing w:line="360" w:lineRule="auto"/>
              <w:rPr>
                <w:rFonts w:ascii="DFKai-SB" w:hAnsi="DFKai-SB" w:eastAsia="DFKai-SB" w:cs="宋体"/>
                <w:color w:val="000000"/>
                <w:sz w:val="22"/>
                <w:szCs w:val="22"/>
              </w:rPr>
            </w:pPr>
            <w:r>
              <w:rPr>
                <w:rFonts w:hint="eastAsia" w:ascii="DFKai-SB" w:hAnsi="DFKai-SB" w:eastAsia="DFKai-SB" w:cs="宋体"/>
                <w:color w:val="000000"/>
                <w:sz w:val="22"/>
                <w:szCs w:val="22"/>
              </w:rPr>
              <w:t>審議及批准對本公司公司章程、股東大會議事規則及董事會議事規則的建議修訂。</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0" w:type="dxa"/>
            <w:bottom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tcPr>
          <w:p>
            <w:pPr>
              <w:spacing w:line="360" w:lineRule="auto"/>
              <w:jc w:val="both"/>
              <w:rPr>
                <w:rFonts w:ascii="DFKai-SB" w:hAnsi="DFKai-SB" w:eastAsia="DFKai-SB" w:cs="宋体"/>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highlight w:val="none"/>
              </w:rPr>
            </w:pPr>
            <w:r>
              <w:rPr>
                <w:rFonts w:hint="eastAsia" w:ascii="DFKai-SB" w:hAnsi="DFKai-SB" w:eastAsia="宋体"/>
                <w:sz w:val="22"/>
                <w:szCs w:val="22"/>
                <w:highlight w:val="none"/>
                <w:lang w:val="en-US" w:eastAsia="zh-CN"/>
              </w:rPr>
              <w:t>215,162,317</w:t>
            </w:r>
            <w:r>
              <w:rPr>
                <w:rFonts w:hint="eastAsia" w:ascii="DFKai-SB" w:hAnsi="DFKai-SB" w:eastAsia="DFKai-SB" w:cs="宋体"/>
                <w:color w:val="000000"/>
                <w:sz w:val="22"/>
                <w:szCs w:val="22"/>
                <w:highlight w:val="none"/>
                <w:lang w:eastAsia="zh-CN"/>
              </w:rPr>
              <w:t>股</w:t>
            </w:r>
            <w:r>
              <w:rPr>
                <w:rFonts w:hint="eastAsia" w:ascii="DFKai-SB" w:hAnsi="DFKai-SB" w:eastAsia="DFKai-SB" w:cs="宋体"/>
                <w:color w:val="000000"/>
                <w:sz w:val="22"/>
                <w:szCs w:val="22"/>
                <w:highlight w:val="none"/>
              </w:rPr>
              <w:t xml:space="preserve">        </w:t>
            </w:r>
          </w:p>
          <w:p>
            <w:pPr>
              <w:spacing w:line="360" w:lineRule="auto"/>
              <w:jc w:val="center"/>
              <w:rPr>
                <w:rFonts w:ascii="DFKai-SB" w:hAnsi="DFKai-SB" w:eastAsia="DFKai-SB" w:cs="宋体"/>
                <w:sz w:val="22"/>
                <w:szCs w:val="22"/>
                <w:lang w:eastAsia="zh-CN"/>
              </w:rPr>
            </w:pPr>
            <w:r>
              <w:rPr>
                <w:rFonts w:hint="eastAsia" w:ascii="DFKai-SB" w:hAnsi="DFKai-SB" w:eastAsia="DFKai-SB" w:cs="宋体"/>
                <w:color w:val="000000"/>
                <w:sz w:val="22"/>
                <w:szCs w:val="22"/>
                <w:highlight w:val="none"/>
              </w:rPr>
              <w:t>(</w:t>
            </w:r>
            <w:r>
              <w:rPr>
                <w:rFonts w:hint="eastAsia" w:ascii="DFKai-SB" w:hAnsi="DFKai-SB" w:eastAsia="宋体"/>
                <w:sz w:val="22"/>
                <w:szCs w:val="22"/>
                <w:highlight w:val="none"/>
                <w:lang w:val="en-US" w:eastAsia="zh-CN"/>
              </w:rPr>
              <w:t>99.66</w:t>
            </w:r>
            <w:r>
              <w:rPr>
                <w:rFonts w:hint="eastAsia" w:ascii="DFKai-SB" w:hAnsi="DFKai-SB" w:eastAsia="DFKai-SB" w:cs="宋体"/>
                <w:color w:val="000000"/>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highlight w:val="none"/>
              </w:rPr>
            </w:pPr>
            <w:r>
              <w:rPr>
                <w:rFonts w:hint="eastAsia" w:ascii="DFKai-SB" w:hAnsi="DFKai-SB" w:eastAsia="宋体"/>
                <w:sz w:val="22"/>
                <w:szCs w:val="22"/>
                <w:highlight w:val="none"/>
                <w:lang w:val="en-US" w:eastAsia="zh-CN"/>
              </w:rPr>
              <w:t>738,622</w:t>
            </w:r>
            <w:r>
              <w:rPr>
                <w:rFonts w:hint="eastAsia" w:ascii="DFKai-SB" w:hAnsi="DFKai-SB" w:eastAsia="DFKai-SB" w:cs="宋体"/>
                <w:color w:val="000000"/>
                <w:sz w:val="22"/>
                <w:szCs w:val="22"/>
                <w:highlight w:val="none"/>
                <w:lang w:eastAsia="zh-CN"/>
              </w:rPr>
              <w:t>股</w:t>
            </w:r>
            <w:r>
              <w:rPr>
                <w:rFonts w:hint="eastAsia" w:ascii="DFKai-SB" w:hAnsi="DFKai-SB" w:eastAsia="DFKai-SB" w:cs="宋体"/>
                <w:color w:val="000000"/>
                <w:sz w:val="22"/>
                <w:szCs w:val="22"/>
                <w:highlight w:val="none"/>
              </w:rPr>
              <w:t xml:space="preserve">        </w:t>
            </w:r>
          </w:p>
          <w:p>
            <w:pPr>
              <w:spacing w:line="360" w:lineRule="auto"/>
              <w:jc w:val="center"/>
              <w:rPr>
                <w:rFonts w:ascii="DFKai-SB" w:hAnsi="DFKai-SB" w:eastAsia="DFKai-SB" w:cs="宋体"/>
                <w:sz w:val="22"/>
                <w:szCs w:val="22"/>
                <w:lang w:eastAsia="zh-CN"/>
              </w:rPr>
            </w:pPr>
            <w:r>
              <w:rPr>
                <w:rFonts w:hint="eastAsia" w:ascii="DFKai-SB" w:hAnsi="DFKai-SB" w:eastAsia="DFKai-SB" w:cs="宋体"/>
                <w:color w:val="000000"/>
                <w:sz w:val="22"/>
                <w:szCs w:val="22"/>
                <w:highlight w:val="none"/>
              </w:rPr>
              <w:t>(</w:t>
            </w:r>
            <w:r>
              <w:rPr>
                <w:rFonts w:hint="eastAsia" w:ascii="DFKai-SB" w:hAnsi="DFKai-SB" w:eastAsia="宋体"/>
                <w:sz w:val="22"/>
                <w:szCs w:val="22"/>
                <w:highlight w:val="none"/>
                <w:lang w:val="en-US" w:eastAsia="zh-CN"/>
              </w:rPr>
              <w:t>0.34</w:t>
            </w:r>
            <w:r>
              <w:rPr>
                <w:rFonts w:hint="eastAsia" w:ascii="DFKai-SB" w:hAnsi="DFKai-SB" w:eastAsia="DFKai-SB" w:cs="宋体"/>
                <w:color w:val="000000"/>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highlight w:val="none"/>
              </w:rPr>
            </w:pPr>
            <w:r>
              <w:rPr>
                <w:rFonts w:hint="eastAsia" w:ascii="DFKai-SB" w:hAnsi="DFKai-SB" w:eastAsia="宋体"/>
                <w:sz w:val="22"/>
                <w:szCs w:val="22"/>
                <w:highlight w:val="none"/>
                <w:lang w:val="en-US" w:eastAsia="zh-CN"/>
              </w:rPr>
              <w:t>0</w:t>
            </w:r>
            <w:r>
              <w:rPr>
                <w:rFonts w:hint="eastAsia" w:ascii="DFKai-SB" w:hAnsi="DFKai-SB" w:eastAsia="DFKai-SB" w:cs="宋体"/>
                <w:color w:val="000000"/>
                <w:sz w:val="22"/>
                <w:szCs w:val="22"/>
                <w:highlight w:val="none"/>
                <w:lang w:eastAsia="zh-CN"/>
              </w:rPr>
              <w:t>股</w:t>
            </w:r>
            <w:r>
              <w:rPr>
                <w:rFonts w:hint="eastAsia" w:ascii="DFKai-SB" w:hAnsi="DFKai-SB" w:eastAsia="DFKai-SB" w:cs="宋体"/>
                <w:color w:val="000000"/>
                <w:sz w:val="22"/>
                <w:szCs w:val="22"/>
                <w:highlight w:val="none"/>
              </w:rPr>
              <w:t xml:space="preserve">        </w:t>
            </w:r>
          </w:p>
          <w:p>
            <w:pPr>
              <w:spacing w:line="360" w:lineRule="auto"/>
              <w:jc w:val="center"/>
              <w:rPr>
                <w:rFonts w:ascii="DFKai-SB" w:hAnsi="DFKai-SB" w:eastAsia="DFKai-SB" w:cs="宋体"/>
                <w:sz w:val="22"/>
                <w:szCs w:val="22"/>
                <w:lang w:eastAsia="zh-CN"/>
              </w:rPr>
            </w:pPr>
            <w:r>
              <w:rPr>
                <w:rFonts w:hint="eastAsia" w:ascii="DFKai-SB" w:hAnsi="DFKai-SB" w:eastAsia="DFKai-SB" w:cs="宋体"/>
                <w:color w:val="000000"/>
                <w:sz w:val="22"/>
                <w:szCs w:val="22"/>
                <w:highlight w:val="none"/>
              </w:rPr>
              <w:t>(</w:t>
            </w:r>
            <w:r>
              <w:rPr>
                <w:rFonts w:hint="eastAsia" w:ascii="DFKai-SB" w:hAnsi="DFKai-SB" w:eastAsia="宋体"/>
                <w:sz w:val="22"/>
                <w:szCs w:val="22"/>
                <w:highlight w:val="none"/>
                <w:lang w:val="en-US" w:eastAsia="zh-CN"/>
              </w:rPr>
              <w:t>0</w:t>
            </w:r>
            <w:r>
              <w:rPr>
                <w:rFonts w:hint="eastAsia" w:ascii="DFKai-SB" w:hAnsi="DFKai-SB" w:eastAsia="DFKai-SB" w:cs="宋体"/>
                <w:color w:val="000000"/>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ascii="DFKai-SB" w:hAnsi="DFKai-SB" w:eastAsia="DFKai-SB" w:cs="宋体"/>
                <w:color w:val="000000"/>
                <w:sz w:val="22"/>
                <w:szCs w:val="22"/>
                <w:lang w:eastAsia="zh-CN"/>
              </w:rPr>
            </w:pPr>
            <w:r>
              <w:rPr>
                <w:rFonts w:hint="eastAsia" w:ascii="DFKai-SB" w:hAnsi="DFKai-SB" w:eastAsia="DFKai-SB" w:cs="宋体"/>
                <w:b/>
                <w:color w:val="000000"/>
                <w:sz w:val="22"/>
                <w:szCs w:val="22"/>
                <w:highlight w:val="none"/>
                <w:lang w:eastAsia="zh-CN"/>
              </w:rPr>
              <w:t>通過</w:t>
            </w:r>
          </w:p>
        </w:tc>
      </w:tr>
    </w:tbl>
    <w:p>
      <w:pPr>
        <w:spacing w:line="360" w:lineRule="auto"/>
        <w:jc w:val="both"/>
        <w:rPr>
          <w:rFonts w:ascii="DFKai-SB" w:hAnsi="DFKai-SB" w:eastAsia="DFKai-SB" w:cs="宋体"/>
          <w:i/>
          <w:color w:val="000000"/>
          <w:sz w:val="22"/>
          <w:szCs w:val="22"/>
        </w:rPr>
      </w:pPr>
      <w:bookmarkStart w:id="1" w:name="page3"/>
      <w:bookmarkEnd w:id="1"/>
      <w:bookmarkStart w:id="2" w:name="page4"/>
      <w:bookmarkEnd w:id="2"/>
      <w:bookmarkStart w:id="3" w:name="page5"/>
      <w:bookmarkEnd w:id="3"/>
      <w:r>
        <w:rPr>
          <w:rFonts w:hint="eastAsia" w:ascii="DFKai-SB" w:hAnsi="DFKai-SB" w:eastAsia="DFKai-SB" w:cs="宋体"/>
          <w:i/>
          <w:color w:val="000000"/>
          <w:sz w:val="22"/>
          <w:szCs w:val="22"/>
        </w:rPr>
        <w:t>附註: 所示百分比湊整至最接近的</w:t>
      </w:r>
      <w:r>
        <w:rPr>
          <w:rFonts w:hint="eastAsia" w:ascii="DFKai-SB" w:hAnsi="DFKai-SB" w:eastAsia="DFKai-SB" w:cs="宋体"/>
          <w:i/>
          <w:iCs/>
          <w:color w:val="000000"/>
          <w:sz w:val="22"/>
          <w:szCs w:val="22"/>
        </w:rPr>
        <w:t xml:space="preserve">2 </w:t>
      </w:r>
      <w:r>
        <w:rPr>
          <w:rFonts w:hint="eastAsia" w:ascii="DFKai-SB" w:hAnsi="DFKai-SB" w:eastAsia="DFKai-SB" w:cs="宋体"/>
          <w:i/>
          <w:color w:val="000000"/>
          <w:sz w:val="22"/>
          <w:szCs w:val="22"/>
        </w:rPr>
        <w:t>個小數位。數字之總和因湊整可能不等於</w:t>
      </w:r>
      <w:r>
        <w:rPr>
          <w:rFonts w:hint="eastAsia" w:ascii="DFKai-SB" w:hAnsi="DFKai-SB" w:eastAsia="DFKai-SB" w:cs="宋体"/>
          <w:i/>
          <w:iCs/>
          <w:color w:val="000000"/>
          <w:sz w:val="22"/>
          <w:szCs w:val="22"/>
        </w:rPr>
        <w:t>100%</w:t>
      </w:r>
      <w:r>
        <w:rPr>
          <w:rFonts w:hint="eastAsia" w:ascii="DFKai-SB" w:hAnsi="DFKai-SB" w:eastAsia="DFKai-SB" w:cs="宋体"/>
          <w:i/>
          <w:color w:val="000000"/>
          <w:sz w:val="22"/>
          <w:szCs w:val="22"/>
        </w:rPr>
        <w:t>。</w:t>
      </w:r>
    </w:p>
    <w:p>
      <w:pPr>
        <w:spacing w:line="360" w:lineRule="auto"/>
        <w:ind w:right="-74"/>
        <w:jc w:val="both"/>
        <w:rPr>
          <w:rFonts w:hint="eastAsia" w:ascii="DFKai-SB" w:hAnsi="DFKai-SB" w:eastAsia="DFKai-SB" w:cs="宋体"/>
          <w:color w:val="000000"/>
          <w:sz w:val="22"/>
          <w:szCs w:val="22"/>
          <w:highlight w:val="none"/>
        </w:rPr>
      </w:pPr>
      <w:r>
        <w:rPr>
          <w:rFonts w:hint="eastAsia" w:ascii="DFKai-SB" w:hAnsi="DFKai-SB" w:eastAsia="DFKai-SB" w:cs="宋体"/>
          <w:color w:val="000000"/>
          <w:sz w:val="22"/>
          <w:szCs w:val="22"/>
          <w:highlight w:val="none"/>
        </w:rPr>
        <w:t>由於有權出席周年股東大會並於會上投票的股東有</w:t>
      </w:r>
      <w:r>
        <w:rPr>
          <w:rFonts w:hint="eastAsia" w:ascii="DFKai-SB" w:hAnsi="DFKai-SB" w:eastAsia="DFKai-SB" w:cs="宋体"/>
          <w:color w:val="000000"/>
          <w:sz w:val="22"/>
          <w:szCs w:val="22"/>
          <w:highlight w:val="none"/>
          <w:lang w:eastAsia="zh-CN"/>
        </w:rPr>
        <w:t>過半數</w:t>
      </w:r>
      <w:r>
        <w:rPr>
          <w:rFonts w:hint="eastAsia" w:ascii="DFKai-SB" w:hAnsi="DFKai-SB" w:eastAsia="DFKai-SB" w:cs="宋体"/>
          <w:color w:val="000000"/>
          <w:sz w:val="22"/>
          <w:szCs w:val="22"/>
          <w:highlight w:val="none"/>
        </w:rPr>
        <w:t>票數贊成各普通決議案，所有周年股東大會普通決議案已獲通過。</w:t>
      </w:r>
    </w:p>
    <w:p>
      <w:pPr>
        <w:spacing w:line="360" w:lineRule="auto"/>
        <w:ind w:right="-74"/>
        <w:jc w:val="both"/>
        <w:rPr>
          <w:rFonts w:hint="eastAsia" w:ascii="DFKai-SB" w:hAnsi="DFKai-SB" w:eastAsia="DFKai-SB" w:cs="宋体"/>
          <w:color w:val="000000"/>
          <w:sz w:val="22"/>
          <w:szCs w:val="22"/>
          <w:highlight w:val="none"/>
        </w:rPr>
      </w:pPr>
      <w:r>
        <w:rPr>
          <w:rFonts w:hint="eastAsia" w:ascii="DFKai-SB" w:hAnsi="DFKai-SB" w:eastAsia="DFKai-SB" w:cs="宋体"/>
          <w:color w:val="000000"/>
          <w:sz w:val="22"/>
          <w:szCs w:val="22"/>
          <w:highlight w:val="none"/>
        </w:rPr>
        <w:t>由於有權出席周年股東大會並於會上投票的股東有</w:t>
      </w:r>
      <w:r>
        <w:rPr>
          <w:rFonts w:hint="eastAsia" w:ascii="DFKai-SB" w:hAnsi="DFKai-SB" w:eastAsia="DFKai-SB" w:cs="宋体"/>
          <w:color w:val="000000"/>
          <w:sz w:val="22"/>
          <w:szCs w:val="22"/>
          <w:highlight w:val="none"/>
          <w:lang w:eastAsia="zh-CN"/>
        </w:rPr>
        <w:t>超過三分之二</w:t>
      </w:r>
      <w:r>
        <w:rPr>
          <w:rFonts w:hint="eastAsia" w:ascii="DFKai-SB" w:hAnsi="DFKai-SB" w:eastAsia="DFKai-SB" w:cs="宋体"/>
          <w:color w:val="000000"/>
          <w:sz w:val="22"/>
          <w:szCs w:val="22"/>
          <w:highlight w:val="none"/>
        </w:rPr>
        <w:t>票數贊成各</w:t>
      </w:r>
      <w:r>
        <w:rPr>
          <w:rFonts w:hint="eastAsia" w:ascii="DFKai-SB" w:hAnsi="DFKai-SB" w:eastAsia="DFKai-SB" w:cs="宋体"/>
          <w:color w:val="000000"/>
          <w:sz w:val="22"/>
          <w:szCs w:val="22"/>
          <w:highlight w:val="none"/>
          <w:lang w:eastAsia="zh-HK"/>
        </w:rPr>
        <w:t>特別</w:t>
      </w:r>
      <w:r>
        <w:rPr>
          <w:rFonts w:hint="eastAsia" w:ascii="DFKai-SB" w:hAnsi="DFKai-SB" w:eastAsia="DFKai-SB" w:cs="宋体"/>
          <w:color w:val="000000"/>
          <w:sz w:val="22"/>
          <w:szCs w:val="22"/>
          <w:highlight w:val="none"/>
        </w:rPr>
        <w:t>決議案，所有周年股東大會</w:t>
      </w:r>
      <w:r>
        <w:rPr>
          <w:rFonts w:hint="eastAsia" w:ascii="DFKai-SB" w:hAnsi="DFKai-SB" w:eastAsia="DFKai-SB" w:cs="宋体"/>
          <w:color w:val="000000"/>
          <w:sz w:val="22"/>
          <w:szCs w:val="22"/>
          <w:highlight w:val="none"/>
          <w:lang w:eastAsia="zh-HK"/>
        </w:rPr>
        <w:t>特別</w:t>
      </w:r>
      <w:r>
        <w:rPr>
          <w:rFonts w:hint="eastAsia" w:ascii="DFKai-SB" w:hAnsi="DFKai-SB" w:eastAsia="DFKai-SB" w:cs="宋体"/>
          <w:color w:val="000000"/>
          <w:sz w:val="22"/>
          <w:szCs w:val="22"/>
          <w:highlight w:val="none"/>
        </w:rPr>
        <w:t>決議案已獲通過。</w:t>
      </w:r>
    </w:p>
    <w:p>
      <w:pPr>
        <w:spacing w:line="360" w:lineRule="auto"/>
        <w:jc w:val="both"/>
        <w:rPr>
          <w:rFonts w:ascii="DFKai-SB" w:hAnsi="DFKai-SB" w:eastAsia="DFKai-SB" w:cs="宋体"/>
          <w:b/>
          <w:color w:val="000000"/>
          <w:sz w:val="22"/>
          <w:szCs w:val="22"/>
        </w:rPr>
      </w:pPr>
      <w:r>
        <w:rPr>
          <w:rFonts w:hint="eastAsia" w:ascii="DFKai-SB" w:hAnsi="DFKai-SB" w:eastAsia="DFKai-SB" w:cs="宋体"/>
          <w:b/>
          <w:color w:val="000000"/>
          <w:sz w:val="22"/>
          <w:szCs w:val="22"/>
        </w:rPr>
        <w:t>律師及監票人見證</w:t>
      </w:r>
    </w:p>
    <w:p>
      <w:pPr>
        <w:spacing w:line="360" w:lineRule="auto"/>
        <w:jc w:val="both"/>
        <w:rPr>
          <w:rFonts w:ascii="DFKai-SB" w:hAnsi="DFKai-SB" w:eastAsia="DFKai-SB" w:cs="宋体"/>
          <w:color w:val="000000"/>
          <w:sz w:val="22"/>
          <w:szCs w:val="22"/>
        </w:rPr>
      </w:pPr>
      <w:r>
        <w:rPr>
          <w:rFonts w:hint="eastAsia" w:ascii="DFKai-SB" w:hAnsi="DFKai-SB" w:eastAsia="DFKai-SB" w:cs="宋体"/>
          <w:color w:val="000000"/>
          <w:sz w:val="22"/>
          <w:szCs w:val="22"/>
        </w:rPr>
        <w:t>本公司核數師信永中和會計師事務所（特殊普通合夥）（「</w:t>
      </w:r>
      <w:r>
        <w:rPr>
          <w:rFonts w:hint="eastAsia" w:ascii="DFKai-SB" w:hAnsi="DFKai-SB" w:eastAsia="DFKai-SB" w:cs="宋体"/>
          <w:b/>
          <w:color w:val="000000"/>
          <w:sz w:val="22"/>
          <w:szCs w:val="22"/>
        </w:rPr>
        <w:t>信永中和</w:t>
      </w:r>
      <w:r>
        <w:rPr>
          <w:rFonts w:hint="eastAsia" w:ascii="DFKai-SB" w:hAnsi="DFKai-SB" w:eastAsia="DFKai-SB" w:cs="宋体"/>
          <w:color w:val="000000"/>
          <w:sz w:val="22"/>
          <w:szCs w:val="22"/>
        </w:rPr>
        <w:t>」）擔任周年股東大會的監票人，處理點票事宜。</w:t>
      </w:r>
    </w:p>
    <w:p>
      <w:pPr>
        <w:jc w:val="both"/>
        <w:rPr>
          <w:rFonts w:ascii="DFKai-SB" w:hAnsi="DFKai-SB" w:eastAsia="DFKai-SB" w:cs="宋体"/>
          <w:sz w:val="22"/>
          <w:szCs w:val="22"/>
          <w:highlight w:val="none"/>
        </w:rPr>
      </w:pPr>
      <w:bookmarkStart w:id="4" w:name="page10"/>
      <w:bookmarkEnd w:id="4"/>
      <w:bookmarkStart w:id="5" w:name="page11"/>
      <w:bookmarkEnd w:id="5"/>
      <w:bookmarkStart w:id="6" w:name="page8"/>
      <w:bookmarkEnd w:id="6"/>
      <w:bookmarkStart w:id="7" w:name="page12"/>
      <w:bookmarkEnd w:id="7"/>
      <w:bookmarkStart w:id="8" w:name="page9"/>
      <w:bookmarkEnd w:id="8"/>
      <w:r>
        <w:rPr>
          <w:rFonts w:hint="eastAsia" w:ascii="DFKai-SB" w:hAnsi="DFKai-SB" w:eastAsia="DFKai-SB" w:cs="宋体"/>
          <w:color w:val="000000"/>
          <w:sz w:val="22"/>
          <w:szCs w:val="22"/>
          <w:highlight w:val="none"/>
        </w:rPr>
        <w:t>周年股東大會由本公司中國法律顧問競天公誠律師事務所見證並出具書面法律意見確認周年股東大會的召開及程序、出席人士的資格及表決程序符合相關法律、行政法規及規則（包括中國《公司法》、股東大會議事規則及本公司公司章程）的規定。周年股東大會投票結果屬合法、有效。</w:t>
      </w:r>
    </w:p>
    <w:p>
      <w:pPr>
        <w:spacing w:line="360" w:lineRule="auto"/>
        <w:jc w:val="both"/>
        <w:rPr>
          <w:rFonts w:ascii="DFKai-SB" w:hAnsi="DFKai-SB" w:eastAsia="DFKai-SB" w:cs="宋体"/>
          <w:b/>
          <w:bCs/>
          <w:color w:val="000000"/>
          <w:sz w:val="22"/>
          <w:szCs w:val="22"/>
        </w:rPr>
      </w:pPr>
      <w:r>
        <w:rPr>
          <w:rFonts w:hint="eastAsia" w:ascii="DFKai-SB" w:hAnsi="DFKai-SB" w:eastAsia="DFKai-SB" w:cs="宋体"/>
          <w:b/>
          <w:bCs/>
          <w:color w:val="000000"/>
          <w:sz w:val="22"/>
          <w:szCs w:val="22"/>
        </w:rPr>
        <w:t>利潤分派</w:t>
      </w:r>
    </w:p>
    <w:p>
      <w:pPr>
        <w:spacing w:line="360" w:lineRule="auto"/>
        <w:jc w:val="both"/>
        <w:rPr>
          <w:rFonts w:ascii="DFKai-SB" w:hAnsi="DFKai-SB" w:eastAsia="DFKai-SB" w:cs="宋体"/>
          <w:color w:val="000000"/>
          <w:sz w:val="22"/>
          <w:szCs w:val="22"/>
        </w:rPr>
      </w:pPr>
      <w:r>
        <w:rPr>
          <w:rFonts w:hint="eastAsia" w:ascii="DFKai-SB" w:hAnsi="DFKai-SB" w:eastAsia="DFKai-SB" w:cs="宋体"/>
          <w:color w:val="000000"/>
          <w:sz w:val="22"/>
          <w:szCs w:val="22"/>
        </w:rPr>
        <w:t>201</w:t>
      </w:r>
      <w:r>
        <w:rPr>
          <w:rFonts w:ascii="DFKai-SB" w:hAnsi="DFKai-SB" w:eastAsia="DFKai-SB" w:cs="宋体"/>
          <w:color w:val="000000"/>
          <w:sz w:val="22"/>
          <w:szCs w:val="22"/>
        </w:rPr>
        <w:t>9</w:t>
      </w:r>
      <w:r>
        <w:rPr>
          <w:rFonts w:hint="eastAsia" w:ascii="DFKai-SB" w:hAnsi="DFKai-SB" w:eastAsia="DFKai-SB" w:cs="宋体"/>
          <w:color w:val="000000"/>
          <w:sz w:val="22"/>
          <w:szCs w:val="22"/>
        </w:rPr>
        <w:t>年度現金股息（「</w:t>
      </w:r>
      <w:r>
        <w:rPr>
          <w:rFonts w:hint="eastAsia" w:ascii="DFKai-SB" w:hAnsi="DFKai-SB" w:eastAsia="DFKai-SB" w:cs="宋体"/>
          <w:b/>
          <w:color w:val="000000"/>
          <w:sz w:val="22"/>
          <w:szCs w:val="22"/>
        </w:rPr>
        <w:t>201</w:t>
      </w:r>
      <w:r>
        <w:rPr>
          <w:rFonts w:ascii="DFKai-SB" w:hAnsi="DFKai-SB" w:eastAsia="DFKai-SB" w:cs="宋体"/>
          <w:b/>
          <w:color w:val="000000"/>
          <w:sz w:val="22"/>
          <w:szCs w:val="22"/>
        </w:rPr>
        <w:t>9</w:t>
      </w:r>
      <w:r>
        <w:rPr>
          <w:rFonts w:hint="eastAsia" w:ascii="DFKai-SB" w:hAnsi="DFKai-SB" w:eastAsia="DFKai-SB" w:cs="宋体"/>
          <w:b/>
          <w:color w:val="000000"/>
          <w:sz w:val="22"/>
          <w:szCs w:val="22"/>
        </w:rPr>
        <w:t>年度末期股息</w:t>
      </w:r>
      <w:r>
        <w:rPr>
          <w:rFonts w:hint="eastAsia" w:ascii="DFKai-SB" w:hAnsi="DFKai-SB" w:eastAsia="DFKai-SB" w:cs="宋体"/>
          <w:color w:val="000000"/>
          <w:sz w:val="22"/>
          <w:szCs w:val="22"/>
        </w:rPr>
        <w:t>」）分派已於周年股東大會獲股東批准， 董事會欣然宣佈詳情如下</w:t>
      </w:r>
      <w:r>
        <w:rPr>
          <w:rFonts w:hint="eastAsia" w:ascii="DFKai-SB" w:hAnsi="DFKai-SB" w:eastAsia="DFKai-SB" w:cs="宋体"/>
          <w:sz w:val="22"/>
          <w:szCs w:val="22"/>
        </w:rPr>
        <w:t>。</w:t>
      </w:r>
    </w:p>
    <w:p>
      <w:pPr>
        <w:spacing w:line="360" w:lineRule="auto"/>
        <w:jc w:val="both"/>
        <w:rPr>
          <w:rFonts w:ascii="DFKai-SB" w:hAnsi="DFKai-SB" w:eastAsia="DFKai-SB" w:cs="宋体"/>
          <w:color w:val="FF0000"/>
          <w:sz w:val="22"/>
          <w:szCs w:val="22"/>
        </w:rPr>
      </w:pPr>
      <w:r>
        <w:rPr>
          <w:rFonts w:hint="eastAsia" w:ascii="DFKai-SB" w:hAnsi="DFKai-SB" w:eastAsia="DFKai-SB" w:cs="宋体"/>
          <w:color w:val="000000"/>
          <w:sz w:val="22"/>
          <w:szCs w:val="22"/>
        </w:rPr>
        <w:t>本公司將分派其總額為人民幣</w:t>
      </w:r>
      <w:r>
        <w:rPr>
          <w:rFonts w:ascii="DFKai-SB" w:hAnsi="DFKai-SB" w:eastAsia="DFKai-SB" w:cs="宋体"/>
          <w:color w:val="000000"/>
          <w:sz w:val="22"/>
          <w:szCs w:val="22"/>
        </w:rPr>
        <w:t>74,623,133.64</w:t>
      </w:r>
      <w:r>
        <w:rPr>
          <w:rFonts w:hint="eastAsia" w:ascii="DFKai-SB" w:hAnsi="DFKai-SB" w:eastAsia="DFKai-SB" w:cs="宋体"/>
          <w:color w:val="000000"/>
          <w:sz w:val="22"/>
          <w:szCs w:val="22"/>
        </w:rPr>
        <w:t>元的現金股息，以於201</w:t>
      </w:r>
      <w:r>
        <w:rPr>
          <w:rFonts w:ascii="DFKai-SB" w:hAnsi="DFKai-SB" w:eastAsia="DFKai-SB" w:cs="宋体"/>
          <w:color w:val="000000"/>
          <w:sz w:val="22"/>
          <w:szCs w:val="22"/>
        </w:rPr>
        <w:t>9</w:t>
      </w:r>
      <w:r>
        <w:rPr>
          <w:rFonts w:hint="eastAsia" w:ascii="DFKai-SB" w:hAnsi="DFKai-SB" w:eastAsia="DFKai-SB" w:cs="宋体"/>
          <w:color w:val="000000"/>
          <w:sz w:val="22"/>
          <w:szCs w:val="22"/>
        </w:rPr>
        <w:t>年12月31日的已發行股份總數621,859,447股為基數，將向可享有上述的A股股東及H股股東派付。</w:t>
      </w:r>
      <w:r>
        <w:rPr>
          <w:rFonts w:hint="eastAsia" w:ascii="DFKai-SB" w:hAnsi="DFKai-SB" w:eastAsia="DFKai-SB" w:cs="宋体"/>
          <w:sz w:val="22"/>
          <w:szCs w:val="22"/>
        </w:rPr>
        <w:t>A股的現金股息將以人民幣支付而H股現金股息將以港幣支付。按照緊接周年股東大會召開日前五個營業日中國人民銀行公佈的人民幣兌換港幣平均基準中間匯率計算，股息實際派發金額為每股H股</w:t>
      </w:r>
      <w:r>
        <w:rPr>
          <w:rFonts w:hint="eastAsia" w:ascii="DFKai-SB" w:hAnsi="DFKai-SB" w:eastAsia="宋体"/>
          <w:sz w:val="22"/>
          <w:szCs w:val="22"/>
          <w:highlight w:val="none"/>
          <w:lang w:val="en-US" w:eastAsia="zh-CN"/>
        </w:rPr>
        <w:t>0.131395</w:t>
      </w:r>
      <w:r>
        <w:rPr>
          <w:rFonts w:hint="eastAsia" w:ascii="DFKai-SB" w:hAnsi="DFKai-SB" w:eastAsia="DFKai-SB" w:cs="宋体"/>
          <w:sz w:val="22"/>
          <w:szCs w:val="22"/>
        </w:rPr>
        <w:t>港元。本公司已委任收款代理，並將向該收款代理支付應付H股股東的利潤分派。</w:t>
      </w:r>
    </w:p>
    <w:p>
      <w:pPr>
        <w:spacing w:line="360" w:lineRule="auto"/>
        <w:jc w:val="both"/>
        <w:rPr>
          <w:rFonts w:ascii="DFKai-SB" w:hAnsi="DFKai-SB" w:eastAsia="DFKai-SB" w:cs="宋体"/>
          <w:b/>
          <w:i/>
          <w:color w:val="000000"/>
          <w:sz w:val="22"/>
          <w:szCs w:val="22"/>
        </w:rPr>
      </w:pPr>
      <w:r>
        <w:rPr>
          <w:rFonts w:hint="eastAsia" w:ascii="DFKai-SB" w:hAnsi="DFKai-SB" w:eastAsia="DFKai-SB" w:cs="宋体"/>
          <w:b/>
          <w:i/>
          <w:color w:val="000000"/>
          <w:sz w:val="22"/>
          <w:szCs w:val="22"/>
        </w:rPr>
        <w:t>境外非居民企業股東的企業所得稅</w:t>
      </w:r>
    </w:p>
    <w:p>
      <w:pPr>
        <w:spacing w:line="360" w:lineRule="auto"/>
        <w:jc w:val="both"/>
        <w:rPr>
          <w:rFonts w:ascii="DFKai-SB" w:hAnsi="DFKai-SB" w:eastAsia="DFKai-SB" w:cs="宋体"/>
          <w:sz w:val="22"/>
          <w:szCs w:val="22"/>
        </w:rPr>
      </w:pPr>
      <w:r>
        <w:rPr>
          <w:rFonts w:hint="eastAsia" w:ascii="DFKai-SB" w:hAnsi="DFKai-SB" w:eastAsia="DFKai-SB" w:cs="宋体"/>
          <w:sz w:val="22"/>
          <w:szCs w:val="22"/>
        </w:rPr>
        <w:t>根據自2018年12月29日修訂生效的《中華人民共和國企業所得稅法》、自2019年4月23日修訂生效的《中華人民共和國企業所得稅法實施條例》以及於2008年11月6日發佈的《關於中國居民企業向境外H股非居民企業股東派發股息代扣代繳企業所得稅有關問題的通知》（國稅函[2008]897號），於20</w:t>
      </w:r>
      <w:r>
        <w:rPr>
          <w:rFonts w:ascii="DFKai-SB" w:hAnsi="DFKai-SB" w:eastAsia="DFKai-SB" w:cs="宋体"/>
          <w:sz w:val="22"/>
          <w:szCs w:val="22"/>
        </w:rPr>
        <w:t>20</w:t>
      </w:r>
      <w:r>
        <w:rPr>
          <w:rFonts w:hint="eastAsia" w:ascii="DFKai-SB" w:hAnsi="DFKai-SB" w:eastAsia="DFKai-SB" w:cs="宋体"/>
          <w:sz w:val="22"/>
          <w:szCs w:val="22"/>
        </w:rPr>
        <w:t>年7月</w:t>
      </w:r>
      <w:r>
        <w:rPr>
          <w:rFonts w:ascii="DFKai-SB" w:hAnsi="DFKai-SB" w:eastAsia="DFKai-SB" w:cs="宋体"/>
          <w:sz w:val="22"/>
          <w:szCs w:val="22"/>
        </w:rPr>
        <w:t>27</w:t>
      </w:r>
      <w:r>
        <w:rPr>
          <w:rFonts w:hint="eastAsia" w:ascii="DFKai-SB" w:hAnsi="DFKai-SB" w:eastAsia="DFKai-SB" w:cs="宋体"/>
          <w:sz w:val="22"/>
          <w:szCs w:val="22"/>
        </w:rPr>
        <w:t>日(星期一)在本公司H股股東名冊上以境外非自然人（即非個人）名義登記的所有股東，包括以香港中央結算（代理人）有限公司、其他代理人、受託人或其他團體或機構的名義登記的股東一概被視為境外非居民企業股東，本公司將在依法扣除10%企業所得稅後向該等境外非居民企業股東派發末期股息。</w:t>
      </w:r>
    </w:p>
    <w:p>
      <w:pPr>
        <w:spacing w:line="360" w:lineRule="auto"/>
        <w:jc w:val="both"/>
        <w:rPr>
          <w:rFonts w:ascii="DFKai-SB" w:hAnsi="DFKai-SB" w:eastAsia="DFKai-SB" w:cs="宋体"/>
          <w:b/>
          <w:i/>
          <w:color w:val="000000"/>
          <w:sz w:val="22"/>
          <w:szCs w:val="22"/>
        </w:rPr>
      </w:pPr>
      <w:r>
        <w:rPr>
          <w:rFonts w:hint="eastAsia" w:ascii="DFKai-SB" w:hAnsi="DFKai-SB" w:eastAsia="DFKai-SB" w:cs="宋体"/>
          <w:b/>
          <w:i/>
          <w:color w:val="000000"/>
          <w:sz w:val="22"/>
          <w:szCs w:val="22"/>
        </w:rPr>
        <w:t>境外個人股東的個人所得稅</w:t>
      </w:r>
    </w:p>
    <w:p>
      <w:pPr>
        <w:spacing w:line="360" w:lineRule="auto"/>
        <w:jc w:val="both"/>
        <w:rPr>
          <w:rFonts w:ascii="DFKai-SB" w:hAnsi="DFKai-SB" w:eastAsia="DFKai-SB" w:cs="宋体"/>
          <w:color w:val="000000"/>
          <w:sz w:val="22"/>
          <w:szCs w:val="22"/>
        </w:rPr>
      </w:pPr>
      <w:r>
        <w:rPr>
          <w:rFonts w:hint="eastAsia" w:ascii="DFKai-SB" w:hAnsi="DFKai-SB" w:eastAsia="DFKai-SB" w:cs="宋体"/>
          <w:color w:val="000000"/>
          <w:sz w:val="22"/>
          <w:szCs w:val="22"/>
        </w:rPr>
        <w:t>根據財政部、國家稅務總局於1994年5月13日發佈的《關於個人所得稅若干政策問題的通知》（財稅字[1994]020號）的規定，境外個人從外商投資企業取得的股息、紅利所得，暫免徵收中國個人所得稅。因本公司屬於外商投資企業，在派付201</w:t>
      </w:r>
      <w:r>
        <w:rPr>
          <w:rFonts w:ascii="DFKai-SB" w:hAnsi="DFKai-SB" w:eastAsia="DFKai-SB" w:cs="宋体"/>
          <w:color w:val="000000"/>
          <w:sz w:val="22"/>
          <w:szCs w:val="22"/>
        </w:rPr>
        <w:t>9</w:t>
      </w:r>
      <w:r>
        <w:rPr>
          <w:rFonts w:hint="eastAsia" w:ascii="DFKai-SB" w:hAnsi="DFKai-SB" w:eastAsia="DFKai-SB" w:cs="宋体"/>
          <w:color w:val="000000"/>
          <w:sz w:val="22"/>
          <w:szCs w:val="22"/>
        </w:rPr>
        <w:t>年度末期股息時，本公司對名列本公司H股股東名冊上的個人股東將不代扣代繳個人所得稅(不包括於中國大陸境內通過深港通投資本公司 H 股的深圳證券交易所個人投資者)。</w:t>
      </w:r>
    </w:p>
    <w:p>
      <w:pPr>
        <w:spacing w:line="360" w:lineRule="auto"/>
        <w:jc w:val="both"/>
        <w:rPr>
          <w:rFonts w:ascii="DFKai-SB" w:hAnsi="DFKai-SB" w:eastAsia="DFKai-SB" w:cs="宋体"/>
          <w:b/>
          <w:i/>
          <w:color w:val="000000"/>
          <w:sz w:val="22"/>
          <w:szCs w:val="22"/>
        </w:rPr>
      </w:pPr>
      <w:r>
        <w:rPr>
          <w:rFonts w:hint="eastAsia" w:ascii="DFKai-SB" w:hAnsi="DFKai-SB" w:eastAsia="DFKai-SB" w:cs="宋体"/>
          <w:b/>
          <w:i/>
          <w:color w:val="000000"/>
          <w:sz w:val="22"/>
          <w:szCs w:val="22"/>
        </w:rPr>
        <w:t>通過深港通投資之中國境內個人投資者及證券投資基金的個人所得稅</w:t>
      </w:r>
    </w:p>
    <w:p>
      <w:pPr>
        <w:spacing w:line="360" w:lineRule="auto"/>
        <w:jc w:val="both"/>
        <w:rPr>
          <w:rFonts w:ascii="DFKai-SB" w:hAnsi="DFKai-SB" w:eastAsia="DFKai-SB" w:cs="宋体"/>
          <w:color w:val="000000"/>
          <w:sz w:val="22"/>
          <w:szCs w:val="22"/>
        </w:rPr>
      </w:pPr>
      <w:r>
        <w:rPr>
          <w:rFonts w:hint="eastAsia" w:ascii="DFKai-SB" w:hAnsi="DFKai-SB" w:eastAsia="DFKai-SB" w:cs="宋体"/>
          <w:color w:val="000000"/>
          <w:sz w:val="22"/>
          <w:szCs w:val="22"/>
        </w:rPr>
        <w:t>對於通過深港通投資本公司 H 股的深圳證券交易所投資者（包括企業和個人）（「</w:t>
      </w:r>
      <w:r>
        <w:rPr>
          <w:rFonts w:hint="eastAsia" w:ascii="DFKai-SB" w:hAnsi="DFKai-SB" w:eastAsia="DFKai-SB" w:cs="宋体"/>
          <w:b/>
          <w:color w:val="000000"/>
          <w:sz w:val="22"/>
          <w:szCs w:val="22"/>
        </w:rPr>
        <w:t>深交所港股通投資者</w:t>
      </w:r>
      <w:r>
        <w:rPr>
          <w:rFonts w:hint="eastAsia" w:ascii="DFKai-SB" w:hAnsi="DFKai-SB" w:eastAsia="DFKai-SB" w:cs="宋体"/>
          <w:color w:val="000000"/>
          <w:sz w:val="22"/>
          <w:szCs w:val="22"/>
        </w:rPr>
        <w:t>」），本公司已與中國證券登記結算有限責任公司深圳分公司簽署《港股通 H 股股票現金紅利派發協議》，中國證券登記結算有限責任公司深圳分公司作為深交所港股通投資者名義持有人接收本公司派發的現金紅利，並通過其登記結算系統將現金紅利發放至相關深交所港股通投資者。深交所港股通投資者的現金紅利以人民幣派發，扣稅根據《關於深港股票市場交易互聯互通機制試點有關稅收政策的通知》（財稅[2016]127號）執行。對中國境內個人投資者及境內證券投資基金通過深港通投資聯交所上市 H 股應得的股息紅利，H 股發行人按照 20%的稅率代扣個人所得稅。H 股發行人對中國境內企業投資者不代扣及代繳股息紅利所得稅款，應納稅款由企業自行申報繳納。</w:t>
      </w:r>
    </w:p>
    <w:p>
      <w:pPr>
        <w:spacing w:line="360" w:lineRule="auto"/>
        <w:jc w:val="both"/>
        <w:rPr>
          <w:rFonts w:ascii="DFKai-SB" w:hAnsi="DFKai-SB" w:eastAsia="DFKai-SB" w:cs="宋体"/>
          <w:color w:val="000000"/>
          <w:sz w:val="22"/>
          <w:szCs w:val="22"/>
        </w:rPr>
      </w:pPr>
      <w:r>
        <w:rPr>
          <w:rFonts w:hint="eastAsia" w:ascii="DFKai-SB" w:hAnsi="DFKai-SB" w:eastAsia="DFKai-SB" w:cs="宋体"/>
          <w:color w:val="000000"/>
          <w:sz w:val="22"/>
          <w:szCs w:val="22"/>
        </w:rPr>
        <w:t>如任何H股股份持有人對上述安排有任何疑問，建議向彼等的稅務顧問諮詢有關擁有及處置H股股份所涉及的中國、香港及╱或其他國家（地 區）稅務影響的意見。對於 H 股股東的納稅身份或稅務待遇及因 H 股股東的納稅身份或稅務待遇未能及時確定或不準確確定而引致任何申索或對於代扣代繳機制或安排的任何爭議，本公司概不負責，亦不承擔任何責任。</w:t>
      </w:r>
    </w:p>
    <w:p>
      <w:pPr>
        <w:spacing w:line="360" w:lineRule="auto"/>
        <w:jc w:val="both"/>
        <w:rPr>
          <w:rFonts w:ascii="DFKai-SB" w:hAnsi="DFKai-SB" w:eastAsia="DFKai-SB" w:cs="宋体"/>
          <w:color w:val="000000"/>
          <w:sz w:val="22"/>
          <w:szCs w:val="22"/>
        </w:rPr>
      </w:pPr>
      <w:r>
        <w:rPr>
          <w:rFonts w:hint="eastAsia" w:ascii="DFKai-SB" w:hAnsi="DFKai-SB" w:eastAsia="DFKai-SB" w:cs="宋体"/>
          <w:color w:val="000000"/>
          <w:sz w:val="22"/>
          <w:szCs w:val="22"/>
        </w:rPr>
        <w:t>為確定有權獲派發</w:t>
      </w:r>
      <w:r>
        <w:rPr>
          <w:rFonts w:ascii="DFKai-SB" w:hAnsi="DFKai-SB" w:eastAsia="DFKai-SB" w:cs="宋体"/>
          <w:color w:val="000000"/>
          <w:sz w:val="22"/>
          <w:szCs w:val="22"/>
        </w:rPr>
        <w:t>H</w:t>
      </w:r>
      <w:r>
        <w:rPr>
          <w:rFonts w:hint="eastAsia" w:ascii="DFKai-SB" w:hAnsi="DFKai-SB" w:eastAsia="DFKai-SB" w:cs="宋体"/>
          <w:color w:val="000000"/>
          <w:sz w:val="22"/>
          <w:szCs w:val="22"/>
        </w:rPr>
        <w:t>股</w:t>
      </w:r>
      <w:r>
        <w:rPr>
          <w:rFonts w:ascii="DFKai-SB" w:hAnsi="DFKai-SB" w:eastAsia="DFKai-SB" w:cs="宋体"/>
          <w:color w:val="000000"/>
          <w:sz w:val="22"/>
          <w:szCs w:val="22"/>
        </w:rPr>
        <w:t>2019</w:t>
      </w:r>
      <w:r>
        <w:rPr>
          <w:rFonts w:hint="eastAsia" w:ascii="DFKai-SB" w:hAnsi="DFKai-SB" w:eastAsia="DFKai-SB" w:cs="宋体"/>
          <w:color w:val="000000"/>
          <w:sz w:val="22"/>
          <w:szCs w:val="22"/>
        </w:rPr>
        <w:t>年度末期股息的股東，</w:t>
      </w:r>
      <w:r>
        <w:rPr>
          <w:rFonts w:ascii="DFKai-SB" w:hAnsi="DFKai-SB" w:eastAsia="DFKai-SB" w:cs="宋体"/>
          <w:color w:val="000000"/>
          <w:sz w:val="22"/>
          <w:szCs w:val="22"/>
        </w:rPr>
        <w:t>H</w:t>
      </w:r>
      <w:r>
        <w:rPr>
          <w:rFonts w:hint="eastAsia" w:ascii="DFKai-SB" w:hAnsi="DFKai-SB" w:eastAsia="DFKai-SB" w:cs="宋体"/>
          <w:color w:val="000000"/>
          <w:sz w:val="22"/>
          <w:szCs w:val="22"/>
        </w:rPr>
        <w:t>股股份過戶登記將於</w:t>
      </w:r>
      <w:r>
        <w:rPr>
          <w:rFonts w:ascii="DFKai-SB" w:hAnsi="DFKai-SB" w:eastAsia="DFKai-SB" w:cs="宋体"/>
          <w:color w:val="000000"/>
          <w:sz w:val="22"/>
          <w:szCs w:val="22"/>
        </w:rPr>
        <w:t>2020</w:t>
      </w:r>
      <w:r>
        <w:rPr>
          <w:rFonts w:hint="eastAsia" w:ascii="DFKai-SB" w:hAnsi="DFKai-SB" w:eastAsia="DFKai-SB" w:cs="宋体"/>
          <w:color w:val="000000"/>
          <w:sz w:val="22"/>
          <w:szCs w:val="22"/>
        </w:rPr>
        <w:t>年</w:t>
      </w:r>
      <w:r>
        <w:rPr>
          <w:rFonts w:ascii="DFKai-SB" w:hAnsi="DFKai-SB" w:eastAsia="DFKai-SB" w:cs="宋体"/>
          <w:color w:val="000000"/>
          <w:sz w:val="22"/>
          <w:szCs w:val="22"/>
        </w:rPr>
        <w:t xml:space="preserve"> 7</w:t>
      </w:r>
      <w:r>
        <w:rPr>
          <w:rFonts w:hint="eastAsia" w:ascii="DFKai-SB" w:hAnsi="DFKai-SB" w:eastAsia="DFKai-SB" w:cs="宋体"/>
          <w:color w:val="000000"/>
          <w:sz w:val="22"/>
          <w:szCs w:val="22"/>
        </w:rPr>
        <w:t>月</w:t>
      </w:r>
      <w:r>
        <w:rPr>
          <w:rFonts w:ascii="DFKai-SB" w:hAnsi="DFKai-SB" w:eastAsia="DFKai-SB" w:cs="宋体"/>
          <w:color w:val="000000"/>
          <w:sz w:val="22"/>
          <w:szCs w:val="22"/>
        </w:rPr>
        <w:t xml:space="preserve"> 21</w:t>
      </w:r>
      <w:r>
        <w:rPr>
          <w:rFonts w:hint="eastAsia" w:ascii="DFKai-SB" w:hAnsi="DFKai-SB" w:eastAsia="DFKai-SB" w:cs="宋体"/>
          <w:color w:val="000000"/>
          <w:sz w:val="22"/>
          <w:szCs w:val="22"/>
        </w:rPr>
        <w:t>日（星期二）至</w:t>
      </w:r>
      <w:r>
        <w:rPr>
          <w:rFonts w:ascii="DFKai-SB" w:hAnsi="DFKai-SB" w:eastAsia="DFKai-SB" w:cs="宋体"/>
          <w:color w:val="000000"/>
          <w:sz w:val="22"/>
          <w:szCs w:val="22"/>
        </w:rPr>
        <w:t>2020</w:t>
      </w:r>
      <w:r>
        <w:rPr>
          <w:rFonts w:hint="eastAsia" w:ascii="DFKai-SB" w:hAnsi="DFKai-SB" w:eastAsia="DFKai-SB" w:cs="宋体"/>
          <w:color w:val="000000"/>
          <w:sz w:val="22"/>
          <w:szCs w:val="22"/>
        </w:rPr>
        <w:t>年</w:t>
      </w:r>
      <w:r>
        <w:rPr>
          <w:rFonts w:ascii="DFKai-SB" w:hAnsi="DFKai-SB" w:eastAsia="DFKai-SB" w:cs="宋体"/>
          <w:color w:val="000000"/>
          <w:sz w:val="22"/>
          <w:szCs w:val="22"/>
        </w:rPr>
        <w:t xml:space="preserve"> 7 </w:t>
      </w:r>
      <w:r>
        <w:rPr>
          <w:rFonts w:hint="eastAsia" w:ascii="DFKai-SB" w:hAnsi="DFKai-SB" w:eastAsia="DFKai-SB" w:cs="宋体"/>
          <w:color w:val="000000"/>
          <w:sz w:val="22"/>
          <w:szCs w:val="22"/>
        </w:rPr>
        <w:t>月</w:t>
      </w:r>
      <w:r>
        <w:rPr>
          <w:rFonts w:ascii="DFKai-SB" w:hAnsi="DFKai-SB" w:eastAsia="DFKai-SB" w:cs="宋体"/>
          <w:color w:val="000000"/>
          <w:sz w:val="22"/>
          <w:szCs w:val="22"/>
        </w:rPr>
        <w:t xml:space="preserve"> 27 </w:t>
      </w:r>
      <w:r>
        <w:rPr>
          <w:rFonts w:hint="eastAsia" w:ascii="DFKai-SB" w:hAnsi="DFKai-SB" w:eastAsia="DFKai-SB" w:cs="宋体"/>
          <w:color w:val="000000"/>
          <w:sz w:val="22"/>
          <w:szCs w:val="22"/>
        </w:rPr>
        <w:t>日（星期一）（包括首尾兩天）暫停辦理。就</w:t>
      </w:r>
      <w:r>
        <w:rPr>
          <w:rFonts w:ascii="DFKai-SB" w:hAnsi="DFKai-SB" w:eastAsia="DFKai-SB" w:cs="宋体"/>
          <w:color w:val="000000"/>
          <w:sz w:val="22"/>
          <w:szCs w:val="22"/>
        </w:rPr>
        <w:t>H</w:t>
      </w:r>
      <w:r>
        <w:rPr>
          <w:rFonts w:hint="eastAsia" w:ascii="DFKai-SB" w:hAnsi="DFKai-SB" w:eastAsia="DFKai-SB" w:cs="宋体"/>
          <w:color w:val="000000"/>
          <w:sz w:val="22"/>
          <w:szCs w:val="22"/>
        </w:rPr>
        <w:t>股股東而言，為獲</w:t>
      </w:r>
      <w:r>
        <w:rPr>
          <w:rFonts w:ascii="DFKai-SB" w:hAnsi="DFKai-SB" w:eastAsia="DFKai-SB" w:cs="宋体"/>
          <w:color w:val="000000"/>
          <w:sz w:val="22"/>
          <w:szCs w:val="22"/>
        </w:rPr>
        <w:t>2019</w:t>
      </w:r>
      <w:r>
        <w:rPr>
          <w:rFonts w:hint="eastAsia" w:ascii="DFKai-SB" w:hAnsi="DFKai-SB" w:eastAsia="DFKai-SB" w:cs="宋体"/>
          <w:color w:val="000000"/>
          <w:sz w:val="22"/>
          <w:szCs w:val="22"/>
        </w:rPr>
        <w:t>年度末期股息，尚未登記其過戶的</w:t>
      </w:r>
      <w:r>
        <w:rPr>
          <w:rFonts w:ascii="DFKai-SB" w:hAnsi="DFKai-SB" w:eastAsia="DFKai-SB" w:cs="宋体"/>
          <w:color w:val="000000"/>
          <w:sz w:val="22"/>
          <w:szCs w:val="22"/>
        </w:rPr>
        <w:t>H</w:t>
      </w:r>
      <w:r>
        <w:rPr>
          <w:rFonts w:hint="eastAsia" w:ascii="DFKai-SB" w:hAnsi="DFKai-SB" w:eastAsia="DFKai-SB" w:cs="宋体"/>
          <w:color w:val="000000"/>
          <w:sz w:val="22"/>
          <w:szCs w:val="22"/>
        </w:rPr>
        <w:t>股股東須將已填妥的過戶文件連同相關股票於</w:t>
      </w:r>
      <w:r>
        <w:rPr>
          <w:rFonts w:ascii="DFKai-SB" w:hAnsi="DFKai-SB" w:eastAsia="DFKai-SB" w:cs="宋体"/>
          <w:color w:val="000000"/>
          <w:sz w:val="22"/>
          <w:szCs w:val="22"/>
        </w:rPr>
        <w:t>2020</w:t>
      </w:r>
      <w:r>
        <w:rPr>
          <w:rFonts w:hint="eastAsia" w:ascii="DFKai-SB" w:hAnsi="DFKai-SB" w:eastAsia="DFKai-SB" w:cs="宋体"/>
          <w:color w:val="000000"/>
          <w:sz w:val="22"/>
          <w:szCs w:val="22"/>
        </w:rPr>
        <w:t>年</w:t>
      </w:r>
      <w:r>
        <w:rPr>
          <w:rFonts w:ascii="DFKai-SB" w:hAnsi="DFKai-SB" w:eastAsia="DFKai-SB" w:cs="宋体"/>
          <w:color w:val="000000"/>
          <w:sz w:val="22"/>
          <w:szCs w:val="22"/>
        </w:rPr>
        <w:t>7</w:t>
      </w:r>
      <w:r>
        <w:rPr>
          <w:rFonts w:hint="eastAsia" w:ascii="DFKai-SB" w:hAnsi="DFKai-SB" w:eastAsia="DFKai-SB" w:cs="宋体"/>
          <w:color w:val="000000"/>
          <w:sz w:val="22"/>
          <w:szCs w:val="22"/>
        </w:rPr>
        <w:t>月</w:t>
      </w:r>
      <w:r>
        <w:rPr>
          <w:rFonts w:ascii="DFKai-SB" w:hAnsi="DFKai-SB" w:eastAsia="DFKai-SB" w:cs="宋体"/>
          <w:color w:val="000000"/>
          <w:sz w:val="22"/>
          <w:szCs w:val="22"/>
        </w:rPr>
        <w:t>20</w:t>
      </w:r>
      <w:r>
        <w:rPr>
          <w:rFonts w:hint="eastAsia" w:ascii="DFKai-SB" w:hAnsi="DFKai-SB" w:eastAsia="DFKai-SB" w:cs="宋体"/>
          <w:color w:val="000000"/>
          <w:sz w:val="22"/>
          <w:szCs w:val="22"/>
        </w:rPr>
        <w:t>日（星期一）下午</w:t>
      </w:r>
      <w:r>
        <w:rPr>
          <w:rFonts w:ascii="DFKai-SB" w:hAnsi="DFKai-SB" w:eastAsia="DFKai-SB" w:cs="宋体"/>
          <w:color w:val="000000"/>
          <w:sz w:val="22"/>
          <w:szCs w:val="22"/>
        </w:rPr>
        <w:t>4</w:t>
      </w:r>
      <w:r>
        <w:rPr>
          <w:rFonts w:hint="eastAsia" w:ascii="DFKai-SB" w:hAnsi="DFKai-SB" w:eastAsia="DFKai-SB" w:cs="宋体"/>
          <w:color w:val="000000"/>
          <w:sz w:val="22"/>
          <w:szCs w:val="22"/>
        </w:rPr>
        <w:t>時</w:t>
      </w:r>
      <w:r>
        <w:rPr>
          <w:rFonts w:ascii="DFKai-SB" w:hAnsi="DFKai-SB" w:eastAsia="DFKai-SB" w:cs="宋体"/>
          <w:color w:val="000000"/>
          <w:sz w:val="22"/>
          <w:szCs w:val="22"/>
        </w:rPr>
        <w:t>30</w:t>
      </w:r>
      <w:r>
        <w:rPr>
          <w:rFonts w:hint="eastAsia" w:ascii="DFKai-SB" w:hAnsi="DFKai-SB" w:eastAsia="DFKai-SB" w:cs="宋体"/>
          <w:color w:val="000000"/>
          <w:sz w:val="22"/>
          <w:szCs w:val="22"/>
        </w:rPr>
        <w:t>分或之前送呈至本公司</w:t>
      </w:r>
      <w:r>
        <w:rPr>
          <w:rFonts w:ascii="DFKai-SB" w:hAnsi="DFKai-SB" w:eastAsia="DFKai-SB" w:cs="宋体"/>
          <w:color w:val="000000"/>
          <w:sz w:val="22"/>
          <w:szCs w:val="22"/>
        </w:rPr>
        <w:t>H</w:t>
      </w:r>
      <w:r>
        <w:rPr>
          <w:rFonts w:hint="eastAsia" w:ascii="DFKai-SB" w:hAnsi="DFKai-SB" w:eastAsia="DFKai-SB" w:cs="宋体"/>
          <w:color w:val="000000"/>
          <w:sz w:val="22"/>
          <w:szCs w:val="22"/>
        </w:rPr>
        <w:t>股股份過戶登記處香港證券登記有限公司，</w:t>
      </w:r>
      <w:r>
        <w:rPr>
          <w:rFonts w:ascii="DFKai-SB" w:hAnsi="DFKai-SB" w:eastAsia="DFKai-SB" w:cs="宋体"/>
          <w:color w:val="000000"/>
          <w:sz w:val="22"/>
          <w:szCs w:val="22"/>
        </w:rPr>
        <w:t>H</w:t>
      </w:r>
      <w:r>
        <w:rPr>
          <w:rFonts w:hint="eastAsia" w:ascii="DFKai-SB" w:hAnsi="DFKai-SB" w:eastAsia="DFKai-SB" w:cs="宋体"/>
          <w:color w:val="000000"/>
          <w:sz w:val="22"/>
          <w:szCs w:val="22"/>
        </w:rPr>
        <w:t>股股份過戶登記處辦公室地址為香港灣仔皇后大道東</w:t>
      </w:r>
      <w:r>
        <w:rPr>
          <w:rFonts w:ascii="DFKai-SB" w:hAnsi="DFKai-SB" w:eastAsia="DFKai-SB" w:cs="宋体"/>
          <w:color w:val="000000"/>
          <w:sz w:val="22"/>
          <w:szCs w:val="22"/>
        </w:rPr>
        <w:t>183</w:t>
      </w:r>
      <w:r>
        <w:rPr>
          <w:rFonts w:hint="eastAsia" w:ascii="DFKai-SB" w:hAnsi="DFKai-SB" w:eastAsia="DFKai-SB" w:cs="宋体"/>
          <w:color w:val="000000"/>
          <w:sz w:val="22"/>
          <w:szCs w:val="22"/>
        </w:rPr>
        <w:t>號合和中心</w:t>
      </w:r>
      <w:r>
        <w:rPr>
          <w:rFonts w:ascii="DFKai-SB" w:hAnsi="DFKai-SB" w:eastAsia="DFKai-SB" w:cs="宋体"/>
          <w:color w:val="000000"/>
          <w:sz w:val="22"/>
          <w:szCs w:val="22"/>
        </w:rPr>
        <w:t>17</w:t>
      </w:r>
      <w:r>
        <w:rPr>
          <w:rFonts w:hint="eastAsia" w:ascii="DFKai-SB" w:hAnsi="DFKai-SB" w:eastAsia="DFKai-SB" w:cs="宋体"/>
          <w:color w:val="000000"/>
          <w:sz w:val="22"/>
          <w:szCs w:val="22"/>
        </w:rPr>
        <w:t>樓</w:t>
      </w:r>
      <w:r>
        <w:rPr>
          <w:rFonts w:ascii="DFKai-SB" w:hAnsi="DFKai-SB" w:eastAsia="DFKai-SB" w:cs="宋体"/>
          <w:color w:val="000000"/>
          <w:sz w:val="22"/>
          <w:szCs w:val="22"/>
        </w:rPr>
        <w:t>1712-1716</w:t>
      </w:r>
      <w:r>
        <w:rPr>
          <w:rFonts w:hint="eastAsia" w:ascii="DFKai-SB" w:hAnsi="DFKai-SB" w:eastAsia="DFKai-SB" w:cs="宋体"/>
          <w:color w:val="000000"/>
          <w:sz w:val="22"/>
          <w:szCs w:val="22"/>
        </w:rPr>
        <w:t>號鋪。凡於</w:t>
      </w:r>
      <w:r>
        <w:rPr>
          <w:rFonts w:ascii="DFKai-SB" w:hAnsi="DFKai-SB" w:eastAsia="DFKai-SB" w:cs="宋体"/>
          <w:color w:val="000000"/>
          <w:sz w:val="22"/>
          <w:szCs w:val="22"/>
        </w:rPr>
        <w:t>2020</w:t>
      </w:r>
      <w:r>
        <w:rPr>
          <w:rFonts w:hint="eastAsia" w:ascii="DFKai-SB" w:hAnsi="DFKai-SB" w:eastAsia="DFKai-SB" w:cs="宋体"/>
          <w:color w:val="000000"/>
          <w:sz w:val="22"/>
          <w:szCs w:val="22"/>
        </w:rPr>
        <w:t>年</w:t>
      </w:r>
      <w:r>
        <w:rPr>
          <w:rFonts w:ascii="DFKai-SB" w:hAnsi="DFKai-SB" w:eastAsia="DFKai-SB" w:cs="宋体"/>
          <w:color w:val="000000"/>
          <w:sz w:val="22"/>
          <w:szCs w:val="22"/>
        </w:rPr>
        <w:t>7</w:t>
      </w:r>
      <w:r>
        <w:rPr>
          <w:rFonts w:hint="eastAsia" w:ascii="DFKai-SB" w:hAnsi="DFKai-SB" w:eastAsia="DFKai-SB" w:cs="宋体"/>
          <w:color w:val="000000"/>
          <w:sz w:val="22"/>
          <w:szCs w:val="22"/>
        </w:rPr>
        <w:t>月</w:t>
      </w:r>
      <w:r>
        <w:rPr>
          <w:rFonts w:ascii="DFKai-SB" w:hAnsi="DFKai-SB" w:eastAsia="DFKai-SB" w:cs="宋体"/>
          <w:color w:val="000000"/>
          <w:sz w:val="22"/>
          <w:szCs w:val="22"/>
        </w:rPr>
        <w:t>27</w:t>
      </w:r>
      <w:r>
        <w:rPr>
          <w:rFonts w:hint="eastAsia" w:ascii="DFKai-SB" w:hAnsi="DFKai-SB" w:eastAsia="DFKai-SB" w:cs="宋体"/>
          <w:color w:val="000000"/>
          <w:sz w:val="22"/>
          <w:szCs w:val="22"/>
        </w:rPr>
        <w:t>日（星期一）名列本公司股東名冊的</w:t>
      </w:r>
      <w:r>
        <w:rPr>
          <w:rFonts w:ascii="DFKai-SB" w:hAnsi="DFKai-SB" w:eastAsia="DFKai-SB" w:cs="宋体"/>
          <w:color w:val="000000"/>
          <w:sz w:val="22"/>
          <w:szCs w:val="22"/>
        </w:rPr>
        <w:t>H</w:t>
      </w:r>
      <w:r>
        <w:rPr>
          <w:rFonts w:hint="eastAsia" w:ascii="DFKai-SB" w:hAnsi="DFKai-SB" w:eastAsia="DFKai-SB" w:cs="宋体"/>
          <w:color w:val="000000"/>
          <w:sz w:val="22"/>
          <w:szCs w:val="22"/>
        </w:rPr>
        <w:t>股股東，均可獲得</w:t>
      </w:r>
      <w:r>
        <w:rPr>
          <w:rFonts w:ascii="DFKai-SB" w:hAnsi="DFKai-SB" w:eastAsia="DFKai-SB" w:cs="宋体"/>
          <w:color w:val="000000"/>
          <w:sz w:val="22"/>
          <w:szCs w:val="22"/>
        </w:rPr>
        <w:t>2019</w:t>
      </w:r>
      <w:r>
        <w:rPr>
          <w:rFonts w:hint="eastAsia" w:ascii="DFKai-SB" w:hAnsi="DFKai-SB" w:eastAsia="DFKai-SB" w:cs="宋体"/>
          <w:color w:val="000000"/>
          <w:sz w:val="22"/>
          <w:szCs w:val="22"/>
        </w:rPr>
        <w:t>年度末期股息。</w:t>
      </w:r>
    </w:p>
    <w:p>
      <w:pPr>
        <w:spacing w:line="360" w:lineRule="auto"/>
        <w:jc w:val="both"/>
        <w:rPr>
          <w:rFonts w:ascii="DFKai-SB" w:hAnsi="DFKai-SB" w:eastAsia="DFKai-SB" w:cs="宋体"/>
          <w:color w:val="000000"/>
          <w:sz w:val="22"/>
          <w:szCs w:val="22"/>
        </w:rPr>
      </w:pPr>
      <w:r>
        <w:rPr>
          <w:rFonts w:hint="eastAsia" w:ascii="DFKai-SB" w:hAnsi="DFKai-SB" w:eastAsia="DFKai-SB" w:cs="宋体"/>
          <w:color w:val="000000"/>
          <w:sz w:val="22"/>
          <w:szCs w:val="22"/>
        </w:rPr>
        <w:t>201</w:t>
      </w:r>
      <w:r>
        <w:rPr>
          <w:rFonts w:ascii="DFKai-SB" w:hAnsi="DFKai-SB" w:eastAsia="DFKai-SB" w:cs="宋体"/>
          <w:color w:val="000000"/>
          <w:sz w:val="22"/>
          <w:szCs w:val="22"/>
        </w:rPr>
        <w:t>9</w:t>
      </w:r>
      <w:r>
        <w:rPr>
          <w:rFonts w:hint="eastAsia" w:ascii="DFKai-SB" w:hAnsi="DFKai-SB" w:eastAsia="DFKai-SB" w:cs="宋体"/>
          <w:color w:val="000000"/>
          <w:sz w:val="22"/>
          <w:szCs w:val="22"/>
        </w:rPr>
        <w:t>年末期股息預計將於</w:t>
      </w:r>
      <w:r>
        <w:rPr>
          <w:rFonts w:ascii="DFKai-SB" w:hAnsi="DFKai-SB" w:eastAsia="DFKai-SB" w:cs="宋体"/>
          <w:color w:val="000000"/>
          <w:sz w:val="22"/>
          <w:szCs w:val="22"/>
        </w:rPr>
        <w:t>2020</w:t>
      </w:r>
      <w:r>
        <w:rPr>
          <w:rFonts w:hint="eastAsia" w:ascii="DFKai-SB" w:hAnsi="DFKai-SB" w:eastAsia="DFKai-SB" w:cs="宋体"/>
          <w:color w:val="000000"/>
          <w:sz w:val="22"/>
          <w:szCs w:val="22"/>
        </w:rPr>
        <w:t>年</w:t>
      </w:r>
      <w:r>
        <w:rPr>
          <w:rFonts w:ascii="DFKai-SB" w:hAnsi="DFKai-SB" w:eastAsia="DFKai-SB" w:cs="宋体"/>
          <w:color w:val="000000"/>
          <w:sz w:val="22"/>
          <w:szCs w:val="22"/>
        </w:rPr>
        <w:t>8</w:t>
      </w:r>
      <w:r>
        <w:rPr>
          <w:rFonts w:hint="eastAsia" w:ascii="DFKai-SB" w:hAnsi="DFKai-SB" w:eastAsia="DFKai-SB" w:cs="宋体"/>
          <w:color w:val="000000"/>
          <w:sz w:val="22"/>
          <w:szCs w:val="22"/>
        </w:rPr>
        <w:t>月</w:t>
      </w:r>
      <w:r>
        <w:rPr>
          <w:rFonts w:ascii="DFKai-SB" w:hAnsi="DFKai-SB" w:eastAsia="DFKai-SB" w:cs="宋体"/>
          <w:color w:val="000000"/>
          <w:sz w:val="22"/>
          <w:szCs w:val="22"/>
        </w:rPr>
        <w:t>7</w:t>
      </w:r>
      <w:r>
        <w:rPr>
          <w:rFonts w:hint="eastAsia" w:ascii="DFKai-SB" w:hAnsi="DFKai-SB" w:eastAsia="DFKai-SB" w:cs="宋体"/>
          <w:color w:val="000000"/>
          <w:sz w:val="22"/>
          <w:szCs w:val="22"/>
        </w:rPr>
        <w:t>日（星期五）或之前分配給股東。</w:t>
      </w:r>
    </w:p>
    <w:p>
      <w:pPr>
        <w:spacing w:line="360" w:lineRule="auto"/>
        <w:jc w:val="both"/>
        <w:rPr>
          <w:rFonts w:ascii="DFKai-SB" w:hAnsi="DFKai-SB" w:eastAsia="DFKai-SB" w:cs="宋体"/>
          <w:color w:val="000000"/>
          <w:sz w:val="22"/>
          <w:szCs w:val="22"/>
        </w:rPr>
      </w:pPr>
    </w:p>
    <w:tbl>
      <w:tblPr>
        <w:tblStyle w:val="13"/>
        <w:tblW w:w="9640" w:type="dxa"/>
        <w:tblInd w:w="0" w:type="dxa"/>
        <w:tblLayout w:type="fixed"/>
        <w:tblCellMar>
          <w:top w:w="0" w:type="dxa"/>
          <w:left w:w="0" w:type="dxa"/>
          <w:bottom w:w="0" w:type="dxa"/>
          <w:right w:w="0" w:type="dxa"/>
        </w:tblCellMar>
      </w:tblPr>
      <w:tblGrid>
        <w:gridCol w:w="3213"/>
        <w:gridCol w:w="616"/>
        <w:gridCol w:w="5811"/>
      </w:tblGrid>
      <w:tr>
        <w:tblPrEx>
          <w:tblLayout w:type="fixed"/>
          <w:tblCellMar>
            <w:top w:w="0" w:type="dxa"/>
            <w:left w:w="0" w:type="dxa"/>
            <w:bottom w:w="0" w:type="dxa"/>
            <w:right w:w="0" w:type="dxa"/>
          </w:tblCellMar>
        </w:tblPrEx>
        <w:tc>
          <w:tcPr>
            <w:tcW w:w="3213" w:type="dxa"/>
          </w:tcPr>
          <w:p>
            <w:pPr>
              <w:spacing w:line="360" w:lineRule="auto"/>
              <w:jc w:val="both"/>
              <w:rPr>
                <w:rFonts w:ascii="DFKai-SB" w:hAnsi="DFKai-SB" w:eastAsia="DFKai-SB" w:cs="宋体"/>
                <w:color w:val="000000"/>
                <w:sz w:val="22"/>
                <w:szCs w:val="22"/>
              </w:rPr>
            </w:pPr>
          </w:p>
        </w:tc>
        <w:tc>
          <w:tcPr>
            <w:tcW w:w="616" w:type="dxa"/>
          </w:tcPr>
          <w:p>
            <w:pPr>
              <w:spacing w:line="360" w:lineRule="auto"/>
              <w:jc w:val="both"/>
              <w:rPr>
                <w:rFonts w:ascii="DFKai-SB" w:hAnsi="DFKai-SB" w:eastAsia="DFKai-SB" w:cs="宋体"/>
                <w:color w:val="000000"/>
                <w:sz w:val="22"/>
                <w:szCs w:val="22"/>
              </w:rPr>
            </w:pPr>
          </w:p>
        </w:tc>
        <w:tc>
          <w:tcPr>
            <w:tcW w:w="5811" w:type="dxa"/>
          </w:tcPr>
          <w:p>
            <w:pPr>
              <w:widowControl w:val="0"/>
              <w:ind w:firstLine="3190"/>
              <w:rPr>
                <w:rFonts w:ascii="DFKai-SB" w:hAnsi="DFKai-SB" w:eastAsia="DFKai-SB" w:cs="宋体"/>
                <w:color w:val="000000"/>
                <w:sz w:val="22"/>
                <w:szCs w:val="22"/>
              </w:rPr>
            </w:pPr>
            <w:r>
              <w:rPr>
                <w:rFonts w:hint="eastAsia" w:ascii="DFKai-SB" w:hAnsi="DFKai-SB" w:eastAsia="DFKai-SB" w:cs="宋体"/>
                <w:color w:val="000000"/>
                <w:sz w:val="22"/>
                <w:szCs w:val="22"/>
              </w:rPr>
              <w:t>承董事會命</w:t>
            </w:r>
          </w:p>
          <w:p>
            <w:pPr>
              <w:widowControl w:val="0"/>
              <w:ind w:firstLine="2422"/>
              <w:rPr>
                <w:rFonts w:ascii="DFKai-SB" w:hAnsi="DFKai-SB" w:eastAsia="DFKai-SB" w:cs="宋体"/>
                <w:b/>
                <w:color w:val="000000"/>
                <w:sz w:val="22"/>
                <w:szCs w:val="22"/>
              </w:rPr>
            </w:pPr>
            <w:r>
              <w:rPr>
                <w:rFonts w:hint="eastAsia" w:ascii="DFKai-SB" w:hAnsi="DFKai-SB" w:eastAsia="DFKai-SB" w:cs="宋体"/>
                <w:b/>
                <w:color w:val="000000"/>
                <w:sz w:val="22"/>
                <w:szCs w:val="22"/>
              </w:rPr>
              <w:t>山東新華製藥股份有限公司</w:t>
            </w:r>
          </w:p>
          <w:p>
            <w:pPr>
              <w:widowControl w:val="0"/>
              <w:ind w:firstLine="3303"/>
              <w:rPr>
                <w:rFonts w:ascii="DFKai-SB" w:hAnsi="DFKai-SB" w:eastAsia="DFKai-SB" w:cs="宋体"/>
                <w:b/>
                <w:color w:val="000000"/>
                <w:sz w:val="22"/>
                <w:szCs w:val="22"/>
              </w:rPr>
            </w:pPr>
            <w:r>
              <w:rPr>
                <w:rFonts w:hint="eastAsia" w:ascii="DFKai-SB" w:hAnsi="DFKai-SB" w:eastAsia="DFKai-SB" w:cs="宋体"/>
                <w:b/>
                <w:color w:val="000000"/>
                <w:sz w:val="22"/>
                <w:szCs w:val="22"/>
              </w:rPr>
              <w:t>張代銘</w:t>
            </w:r>
          </w:p>
          <w:p>
            <w:pPr>
              <w:tabs>
                <w:tab w:val="left" w:pos="3281"/>
              </w:tabs>
              <w:spacing w:line="360" w:lineRule="auto"/>
              <w:jc w:val="center"/>
              <w:rPr>
                <w:rFonts w:ascii="DFKai-SB" w:hAnsi="DFKai-SB" w:eastAsia="DFKai-SB" w:cs="宋体"/>
                <w:i/>
                <w:color w:val="000000"/>
                <w:sz w:val="22"/>
                <w:szCs w:val="22"/>
              </w:rPr>
            </w:pPr>
            <w:r>
              <w:rPr>
                <w:rFonts w:hint="eastAsia" w:ascii="DFKai-SB" w:hAnsi="DFKai-SB" w:eastAsia="DFKai-SB" w:cs="宋体"/>
                <w:color w:val="000000"/>
                <w:sz w:val="22"/>
                <w:szCs w:val="22"/>
              </w:rPr>
              <w:t xml:space="preserve">             　</w:t>
            </w:r>
            <w:r>
              <w:rPr>
                <w:rFonts w:hint="eastAsia" w:ascii="DFKai-SB" w:hAnsi="DFKai-SB" w:eastAsia="DFKai-SB" w:cs="宋体"/>
                <w:i/>
                <w:color w:val="000000"/>
                <w:sz w:val="22"/>
                <w:szCs w:val="22"/>
              </w:rPr>
              <w:t>董事長</w:t>
            </w:r>
          </w:p>
        </w:tc>
      </w:tr>
    </w:tbl>
    <w:p>
      <w:pPr>
        <w:spacing w:line="360" w:lineRule="auto"/>
        <w:ind w:left="100"/>
        <w:jc w:val="both"/>
        <w:rPr>
          <w:rFonts w:ascii="DFKai-SB" w:hAnsi="DFKai-SB" w:eastAsia="DFKai-SB" w:cs="宋体"/>
          <w:color w:val="000000"/>
          <w:sz w:val="22"/>
          <w:szCs w:val="22"/>
        </w:rPr>
      </w:pPr>
      <w:r>
        <w:rPr>
          <w:rFonts w:hint="eastAsia" w:ascii="DFKai-SB" w:hAnsi="DFKai-SB" w:eastAsia="DFKai-SB" w:cs="宋体"/>
          <w:color w:val="000000"/>
          <w:sz w:val="22"/>
          <w:szCs w:val="22"/>
        </w:rPr>
        <w:t>中國、淄博，20</w:t>
      </w:r>
      <w:r>
        <w:rPr>
          <w:rFonts w:hint="eastAsia" w:ascii="DFKai-SB" w:hAnsi="DFKai-SB" w:eastAsia="宋体" w:cs="宋体"/>
          <w:color w:val="000000"/>
          <w:sz w:val="22"/>
          <w:szCs w:val="22"/>
          <w:lang w:val="en-US" w:eastAsia="zh-CN"/>
        </w:rPr>
        <w:t>20</w:t>
      </w:r>
      <w:r>
        <w:rPr>
          <w:rFonts w:hint="eastAsia" w:ascii="DFKai-SB" w:hAnsi="DFKai-SB" w:eastAsia="DFKai-SB" w:cs="宋体"/>
          <w:color w:val="000000"/>
          <w:sz w:val="22"/>
          <w:szCs w:val="22"/>
        </w:rPr>
        <w:t>年6 月</w:t>
      </w:r>
      <w:r>
        <w:rPr>
          <w:rFonts w:ascii="DFKai-SB" w:hAnsi="DFKai-SB" w:eastAsia="DFKai-SB" w:cs="宋体"/>
          <w:color w:val="000000"/>
          <w:sz w:val="22"/>
          <w:szCs w:val="22"/>
        </w:rPr>
        <w:t>29</w:t>
      </w:r>
      <w:r>
        <w:rPr>
          <w:rFonts w:hint="eastAsia" w:ascii="DFKai-SB" w:hAnsi="DFKai-SB" w:eastAsia="DFKai-SB" w:cs="宋体"/>
          <w:color w:val="000000"/>
          <w:sz w:val="22"/>
          <w:szCs w:val="22"/>
        </w:rPr>
        <w:t>日</w:t>
      </w:r>
    </w:p>
    <w:p>
      <w:pPr>
        <w:spacing w:line="360" w:lineRule="auto"/>
        <w:ind w:left="6"/>
        <w:jc w:val="both"/>
        <w:rPr>
          <w:rFonts w:ascii="DFKai-SB" w:hAnsi="DFKai-SB" w:eastAsia="DFKai-SB" w:cs="宋体"/>
          <w:color w:val="000000"/>
          <w:sz w:val="22"/>
          <w:szCs w:val="22"/>
        </w:rPr>
      </w:pPr>
      <w:r>
        <w:rPr>
          <w:rFonts w:hint="eastAsia" w:ascii="DFKai-SB" w:hAnsi="DFKai-SB" w:eastAsia="DFKai-SB" w:cs="宋体"/>
          <w:color w:val="000000"/>
          <w:sz w:val="22"/>
          <w:szCs w:val="22"/>
        </w:rPr>
        <w:t>於本公告日，董事會之成員如下：</w:t>
      </w:r>
    </w:p>
    <w:p>
      <w:pPr>
        <w:tabs>
          <w:tab w:val="left" w:pos="5086"/>
        </w:tabs>
        <w:spacing w:line="320" w:lineRule="exact"/>
        <w:ind w:left="6"/>
        <w:jc w:val="both"/>
        <w:rPr>
          <w:rFonts w:ascii="DFKai-SB" w:hAnsi="DFKai-SB" w:eastAsia="DFKai-SB" w:cs="宋体"/>
          <w:color w:val="000000"/>
          <w:sz w:val="22"/>
          <w:szCs w:val="22"/>
        </w:rPr>
      </w:pPr>
      <w:r>
        <w:rPr>
          <w:rFonts w:hint="eastAsia" w:ascii="DFKai-SB" w:hAnsi="DFKai-SB" w:eastAsia="DFKai-SB" w:cs="宋体"/>
          <w:color w:val="000000"/>
          <w:sz w:val="22"/>
          <w:szCs w:val="22"/>
          <w:u w:val="single"/>
        </w:rPr>
        <w:t>執行董事：</w:t>
      </w:r>
      <w:r>
        <w:rPr>
          <w:rFonts w:hint="eastAsia" w:ascii="DFKai-SB" w:hAnsi="DFKai-SB" w:eastAsia="DFKai-SB" w:cs="宋体"/>
          <w:color w:val="000000"/>
          <w:sz w:val="22"/>
          <w:szCs w:val="22"/>
        </w:rPr>
        <w:tab/>
      </w:r>
      <w:r>
        <w:rPr>
          <w:rFonts w:hint="eastAsia" w:ascii="DFKai-SB" w:hAnsi="DFKai-SB" w:eastAsia="DFKai-SB" w:cs="宋体"/>
          <w:color w:val="000000"/>
          <w:sz w:val="22"/>
          <w:szCs w:val="22"/>
          <w:u w:val="single"/>
        </w:rPr>
        <w:t>獨立非執行董事：</w:t>
      </w:r>
    </w:p>
    <w:p>
      <w:pPr>
        <w:tabs>
          <w:tab w:val="left" w:pos="5086"/>
        </w:tabs>
        <w:spacing w:line="320" w:lineRule="exact"/>
        <w:ind w:left="6"/>
        <w:jc w:val="both"/>
        <w:rPr>
          <w:rFonts w:ascii="DFKai-SB" w:hAnsi="DFKai-SB" w:eastAsia="DFKai-SB" w:cs="宋体"/>
          <w:color w:val="000000"/>
          <w:sz w:val="22"/>
          <w:szCs w:val="22"/>
        </w:rPr>
      </w:pPr>
      <w:r>
        <w:rPr>
          <w:rFonts w:hint="eastAsia" w:ascii="DFKai-SB" w:hAnsi="DFKai-SB" w:eastAsia="DFKai-SB" w:cs="宋体"/>
          <w:color w:val="000000"/>
          <w:sz w:val="22"/>
          <w:szCs w:val="22"/>
        </w:rPr>
        <w:t>張代銘先生（</w:t>
      </w:r>
      <w:r>
        <w:rPr>
          <w:rFonts w:hint="eastAsia" w:ascii="DFKai-SB" w:hAnsi="DFKai-SB" w:eastAsia="DFKai-SB" w:cs="宋体"/>
          <w:i/>
          <w:color w:val="000000"/>
          <w:sz w:val="22"/>
          <w:szCs w:val="22"/>
        </w:rPr>
        <w:t>董事長</w:t>
      </w:r>
      <w:r>
        <w:rPr>
          <w:rFonts w:hint="eastAsia" w:ascii="DFKai-SB" w:hAnsi="DFKai-SB" w:eastAsia="DFKai-SB" w:cs="宋体"/>
          <w:color w:val="000000"/>
          <w:sz w:val="22"/>
          <w:szCs w:val="22"/>
        </w:rPr>
        <w:t>）</w:t>
      </w:r>
      <w:r>
        <w:rPr>
          <w:rFonts w:hint="eastAsia" w:ascii="DFKai-SB" w:hAnsi="DFKai-SB" w:eastAsia="DFKai-SB" w:cs="宋体"/>
          <w:color w:val="000000"/>
          <w:sz w:val="22"/>
          <w:szCs w:val="22"/>
        </w:rPr>
        <w:tab/>
      </w:r>
      <w:r>
        <w:rPr>
          <w:rFonts w:hint="eastAsia" w:ascii="DFKai-SB" w:hAnsi="DFKai-SB" w:eastAsia="DFKai-SB" w:cs="宋体"/>
          <w:color w:val="000000"/>
          <w:sz w:val="22"/>
          <w:szCs w:val="22"/>
        </w:rPr>
        <w:t>李文明先生</w:t>
      </w:r>
    </w:p>
    <w:p>
      <w:pPr>
        <w:tabs>
          <w:tab w:val="left" w:pos="5086"/>
        </w:tabs>
        <w:spacing w:line="320" w:lineRule="exact"/>
        <w:ind w:left="6"/>
        <w:jc w:val="both"/>
        <w:rPr>
          <w:rFonts w:ascii="DFKai-SB" w:hAnsi="DFKai-SB" w:eastAsia="DFKai-SB" w:cs="宋体"/>
          <w:color w:val="000000"/>
          <w:sz w:val="22"/>
          <w:szCs w:val="22"/>
        </w:rPr>
      </w:pPr>
      <w:r>
        <w:rPr>
          <w:rFonts w:hint="eastAsia" w:ascii="DFKai-SB" w:hAnsi="DFKai-SB" w:eastAsia="DFKai-SB" w:cs="宋体"/>
          <w:color w:val="000000"/>
          <w:sz w:val="22"/>
          <w:szCs w:val="22"/>
        </w:rPr>
        <w:t>杜德平先生</w:t>
      </w:r>
      <w:r>
        <w:rPr>
          <w:rFonts w:hint="eastAsia" w:ascii="DFKai-SB" w:hAnsi="DFKai-SB" w:eastAsia="DFKai-SB" w:cs="宋体"/>
          <w:color w:val="000000"/>
          <w:sz w:val="22"/>
          <w:szCs w:val="22"/>
        </w:rPr>
        <w:tab/>
      </w:r>
      <w:r>
        <w:rPr>
          <w:rFonts w:hint="eastAsia" w:ascii="DFKai-SB" w:hAnsi="DFKai-SB" w:eastAsia="DFKai-SB" w:cs="宋体"/>
          <w:color w:val="000000"/>
          <w:sz w:val="22"/>
          <w:szCs w:val="22"/>
        </w:rPr>
        <w:t>杜冠華先生</w:t>
      </w:r>
    </w:p>
    <w:p>
      <w:pPr>
        <w:spacing w:line="320" w:lineRule="exact"/>
        <w:ind w:left="5106"/>
        <w:jc w:val="both"/>
        <w:rPr>
          <w:rFonts w:ascii="DFKai-SB" w:hAnsi="DFKai-SB" w:eastAsia="DFKai-SB" w:cs="宋体"/>
          <w:color w:val="000000"/>
          <w:sz w:val="22"/>
          <w:szCs w:val="22"/>
        </w:rPr>
      </w:pPr>
      <w:r>
        <w:rPr>
          <w:rFonts w:hint="eastAsia" w:ascii="DFKai-SB" w:hAnsi="DFKai-SB" w:eastAsia="DFKai-SB" w:cs="宋体"/>
          <w:color w:val="000000"/>
          <w:sz w:val="22"/>
          <w:szCs w:val="22"/>
        </w:rPr>
        <w:t>盧華威先生</w:t>
      </w:r>
    </w:p>
    <w:p>
      <w:pPr>
        <w:spacing w:line="320" w:lineRule="exact"/>
        <w:ind w:left="6"/>
        <w:jc w:val="both"/>
        <w:rPr>
          <w:rFonts w:ascii="DFKai-SB" w:hAnsi="DFKai-SB" w:eastAsia="DFKai-SB" w:cs="宋体"/>
          <w:color w:val="000000"/>
          <w:sz w:val="22"/>
          <w:szCs w:val="22"/>
          <w:u w:val="single"/>
        </w:rPr>
      </w:pPr>
      <w:r>
        <w:rPr>
          <w:rFonts w:hint="eastAsia" w:ascii="DFKai-SB" w:hAnsi="DFKai-SB" w:eastAsia="DFKai-SB" w:cs="宋体"/>
          <w:color w:val="000000"/>
          <w:sz w:val="22"/>
          <w:szCs w:val="22"/>
          <w:u w:val="single"/>
        </w:rPr>
        <w:t>非執行董事：</w:t>
      </w:r>
    </w:p>
    <w:p>
      <w:pPr>
        <w:spacing w:line="320" w:lineRule="exact"/>
        <w:ind w:left="6"/>
        <w:jc w:val="both"/>
        <w:rPr>
          <w:rFonts w:ascii="DFKai-SB" w:hAnsi="DFKai-SB" w:eastAsia="DFKai-SB" w:cs="宋体"/>
          <w:color w:val="000000"/>
          <w:sz w:val="22"/>
          <w:szCs w:val="22"/>
        </w:rPr>
      </w:pPr>
      <w:r>
        <w:rPr>
          <w:rFonts w:hint="eastAsia" w:ascii="DFKai-SB" w:hAnsi="DFKai-SB" w:eastAsia="DFKai-SB" w:cs="宋体"/>
          <w:color w:val="000000"/>
          <w:sz w:val="22"/>
          <w:szCs w:val="22"/>
        </w:rPr>
        <w:t>任福龍先生</w:t>
      </w:r>
    </w:p>
    <w:p>
      <w:pPr>
        <w:spacing w:line="320" w:lineRule="exact"/>
        <w:jc w:val="both"/>
        <w:rPr>
          <w:rFonts w:ascii="DFKai-SB" w:hAnsi="DFKai-SB" w:eastAsia="DFKai-SB" w:cs="宋体"/>
          <w:sz w:val="22"/>
          <w:szCs w:val="22"/>
        </w:rPr>
      </w:pPr>
      <w:r>
        <w:rPr>
          <w:rFonts w:hint="eastAsia" w:ascii="DFKai-SB" w:hAnsi="DFKai-SB" w:eastAsia="DFKai-SB" w:cs="宋体"/>
          <w:color w:val="000000"/>
          <w:sz w:val="22"/>
          <w:szCs w:val="22"/>
        </w:rPr>
        <w:t>徐列先生</w:t>
      </w:r>
      <w:bookmarkStart w:id="9" w:name="page13"/>
      <w:bookmarkEnd w:id="9"/>
    </w:p>
    <w:sectPr>
      <w:headerReference r:id="rId3" w:type="default"/>
      <w:footerReference r:id="rId4" w:type="default"/>
      <w:pgSz w:w="11906" w:h="16838"/>
      <w:pgMar w:top="1106" w:right="1126" w:bottom="57" w:left="1134" w:header="0" w:footer="0" w:gutter="0"/>
      <w:cols w:space="720" w:num="1"/>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Arial">
    <w:panose1 w:val="020B0604020202020204"/>
    <w:charset w:val="00"/>
    <w:family w:val="swiss"/>
    <w:pitch w:val="default"/>
    <w:sig w:usb0="E0002AFF" w:usb1="C0007843" w:usb2="00000009" w:usb3="00000000" w:csb0="400001FF" w:csb1="FFFF0000"/>
  </w:font>
  <w:font w:name="Mangal">
    <w:panose1 w:val="02040503050203030202"/>
    <w:charset w:val="00"/>
    <w:family w:val="auto"/>
    <w:pitch w:val="default"/>
    <w:sig w:usb0="00008003" w:usb1="00000000" w:usb2="00000000" w:usb3="00000000" w:csb0="00000001" w:csb1="00000000"/>
  </w:font>
  <w:font w:name="Liberation Sans">
    <w:altName w:val="Arial"/>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w:instrText>
    </w:r>
    <w:r>
      <w:fldChar w:fldCharType="separate"/>
    </w:r>
    <w:r>
      <w:t>5</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823"/>
        <w:tab w:val="clear" w:pos="4513"/>
        <w:tab w:val="clear"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9C"/>
    <w:rsid w:val="000208F2"/>
    <w:rsid w:val="00203717"/>
    <w:rsid w:val="00244C9E"/>
    <w:rsid w:val="002C0B7A"/>
    <w:rsid w:val="0039498F"/>
    <w:rsid w:val="00466A93"/>
    <w:rsid w:val="00602B9C"/>
    <w:rsid w:val="00647BB5"/>
    <w:rsid w:val="00650C18"/>
    <w:rsid w:val="00682F54"/>
    <w:rsid w:val="006D1E7C"/>
    <w:rsid w:val="0070087A"/>
    <w:rsid w:val="00711E49"/>
    <w:rsid w:val="007B32A9"/>
    <w:rsid w:val="008009E5"/>
    <w:rsid w:val="008062FE"/>
    <w:rsid w:val="00872639"/>
    <w:rsid w:val="00884FF7"/>
    <w:rsid w:val="008F6629"/>
    <w:rsid w:val="00963694"/>
    <w:rsid w:val="00A31E66"/>
    <w:rsid w:val="00AF6B7E"/>
    <w:rsid w:val="00B72C52"/>
    <w:rsid w:val="00C7023C"/>
    <w:rsid w:val="00E44DEA"/>
    <w:rsid w:val="00F83DBD"/>
    <w:rsid w:val="0A096280"/>
    <w:rsid w:val="100B3CE4"/>
    <w:rsid w:val="214D15C7"/>
    <w:rsid w:val="3CEE7E59"/>
    <w:rsid w:val="47527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PMingLiU"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PMingLiU" w:cs="Arial"/>
      <w:lang w:val="en-US" w:eastAsia="zh-TW" w:bidi="ar-SA"/>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unhideWhenUsed/>
    <w:qFormat/>
    <w:uiPriority w:val="99"/>
    <w:rPr>
      <w:b/>
      <w:bCs/>
    </w:rPr>
  </w:style>
  <w:style w:type="paragraph" w:styleId="3">
    <w:name w:val="annotation text"/>
    <w:basedOn w:val="1"/>
    <w:unhideWhenUsed/>
    <w:qFormat/>
    <w:uiPriority w:val="99"/>
  </w:style>
  <w:style w:type="paragraph" w:styleId="4">
    <w:name w:val="caption"/>
    <w:basedOn w:val="1"/>
    <w:next w:val="1"/>
    <w:qFormat/>
    <w:uiPriority w:val="0"/>
    <w:pPr>
      <w:suppressLineNumbers/>
      <w:spacing w:before="120" w:after="120"/>
    </w:pPr>
    <w:rPr>
      <w:rFonts w:cs="Mangal"/>
      <w:i/>
      <w:iCs/>
      <w:sz w:val="24"/>
      <w:szCs w:val="24"/>
    </w:rPr>
  </w:style>
  <w:style w:type="paragraph" w:styleId="5">
    <w:name w:val="Body Text"/>
    <w:basedOn w:val="1"/>
    <w:qFormat/>
    <w:uiPriority w:val="0"/>
    <w:pPr>
      <w:spacing w:after="140" w:line="288" w:lineRule="auto"/>
    </w:pPr>
  </w:style>
  <w:style w:type="paragraph" w:styleId="6">
    <w:name w:val="Plain Text"/>
    <w:basedOn w:val="1"/>
    <w:semiHidden/>
    <w:qFormat/>
    <w:uiPriority w:val="0"/>
    <w:pPr>
      <w:widowControl w:val="0"/>
      <w:jc w:val="both"/>
    </w:pPr>
    <w:rPr>
      <w:rFonts w:ascii="宋体" w:hAnsi="宋体" w:eastAsia="宋体" w:cs="Times New Roman"/>
      <w:sz w:val="21"/>
      <w:lang w:eastAsia="zh-CN"/>
    </w:rPr>
  </w:style>
  <w:style w:type="paragraph" w:styleId="7">
    <w:name w:val="Balloon Text"/>
    <w:basedOn w:val="1"/>
    <w:unhideWhenUsed/>
    <w:qFormat/>
    <w:uiPriority w:val="99"/>
    <w:rPr>
      <w:rFonts w:ascii="Cambria" w:hAnsi="Cambria" w:cs="Times New Roman"/>
      <w:sz w:val="16"/>
      <w:szCs w:val="16"/>
    </w:rPr>
  </w:style>
  <w:style w:type="paragraph" w:styleId="8">
    <w:name w:val="footer"/>
    <w:basedOn w:val="1"/>
    <w:unhideWhenUsed/>
    <w:qFormat/>
    <w:uiPriority w:val="99"/>
    <w:pPr>
      <w:tabs>
        <w:tab w:val="center" w:pos="4513"/>
        <w:tab w:val="right" w:pos="9026"/>
      </w:tabs>
    </w:pPr>
  </w:style>
  <w:style w:type="paragraph" w:styleId="9">
    <w:name w:val="header"/>
    <w:basedOn w:val="1"/>
    <w:unhideWhenUsed/>
    <w:qFormat/>
    <w:uiPriority w:val="99"/>
    <w:pPr>
      <w:tabs>
        <w:tab w:val="center" w:pos="4513"/>
        <w:tab w:val="right" w:pos="9026"/>
      </w:tabs>
    </w:pPr>
  </w:style>
  <w:style w:type="paragraph" w:styleId="10">
    <w:name w:val="List"/>
    <w:basedOn w:val="5"/>
    <w:qFormat/>
    <w:uiPriority w:val="0"/>
    <w:rPr>
      <w:rFonts w:cs="Mangal"/>
    </w:rPr>
  </w:style>
  <w:style w:type="character" w:styleId="12">
    <w:name w:val="annotation reference"/>
    <w:unhideWhenUsed/>
    <w:qFormat/>
    <w:uiPriority w:val="99"/>
    <w:rPr>
      <w:sz w:val="16"/>
      <w:szCs w:val="16"/>
    </w:rPr>
  </w:style>
  <w:style w:type="paragraph" w:customStyle="1" w:styleId="14">
    <w:name w:val="Heading"/>
    <w:basedOn w:val="1"/>
    <w:next w:val="5"/>
    <w:qFormat/>
    <w:uiPriority w:val="0"/>
    <w:pPr>
      <w:keepNext/>
      <w:spacing w:before="240" w:after="120"/>
    </w:pPr>
    <w:rPr>
      <w:rFonts w:ascii="Liberation Sans" w:hAnsi="Liberation Sans" w:eastAsia="微软雅黑" w:cs="Mangal"/>
      <w:sz w:val="28"/>
      <w:szCs w:val="28"/>
    </w:rPr>
  </w:style>
  <w:style w:type="paragraph" w:customStyle="1" w:styleId="15">
    <w:name w:val="Index"/>
    <w:basedOn w:val="1"/>
    <w:qFormat/>
    <w:uiPriority w:val="0"/>
    <w:pPr>
      <w:suppressLineNumbers/>
    </w:pPr>
    <w:rPr>
      <w:rFonts w:cs="Mangal"/>
    </w:rPr>
  </w:style>
  <w:style w:type="paragraph" w:customStyle="1" w:styleId="16">
    <w:name w:val="Revision1"/>
    <w:semiHidden/>
    <w:qFormat/>
    <w:uiPriority w:val="99"/>
    <w:pPr>
      <w:spacing w:after="160" w:line="259" w:lineRule="auto"/>
    </w:pPr>
    <w:rPr>
      <w:rFonts w:ascii="Calibri" w:hAnsi="Calibri" w:eastAsia="PMingLiU" w:cs="Calibri"/>
      <w:lang w:val="en-US" w:eastAsia="zh-CN" w:bidi="ar-SA"/>
    </w:rPr>
  </w:style>
  <w:style w:type="paragraph" w:customStyle="1" w:styleId="17">
    <w:name w:val="List Paragraph1"/>
    <w:basedOn w:val="1"/>
    <w:qFormat/>
    <w:uiPriority w:val="34"/>
    <w:pPr>
      <w:ind w:left="480"/>
    </w:pPr>
  </w:style>
  <w:style w:type="paragraph" w:customStyle="1" w:styleId="18">
    <w:name w:val="Revision2"/>
    <w:hidden/>
    <w:semiHidden/>
    <w:qFormat/>
    <w:uiPriority w:val="99"/>
    <w:pPr>
      <w:spacing w:after="160" w:line="259" w:lineRule="auto"/>
    </w:pPr>
    <w:rPr>
      <w:rFonts w:ascii="Calibri" w:hAnsi="Calibri" w:eastAsia="PMingLiU" w:cs="Arial"/>
      <w:lang w:val="en-US" w:eastAsia="zh-CN" w:bidi="ar-SA"/>
    </w:rPr>
  </w:style>
  <w:style w:type="paragraph" w:customStyle="1" w:styleId="19">
    <w:name w:val="Revision3"/>
    <w:hidden/>
    <w:semiHidden/>
    <w:qFormat/>
    <w:uiPriority w:val="99"/>
    <w:pPr>
      <w:spacing w:after="160" w:line="259" w:lineRule="auto"/>
    </w:pPr>
    <w:rPr>
      <w:rFonts w:ascii="Calibri" w:hAnsi="Calibri" w:eastAsia="PMingLiU" w:cs="Arial"/>
      <w:lang w:val="en-US" w:eastAsia="zh-CN" w:bidi="ar-SA"/>
    </w:rPr>
  </w:style>
  <w:style w:type="paragraph" w:customStyle="1" w:styleId="20">
    <w:name w:val="List Paragraph2"/>
    <w:basedOn w:val="1"/>
    <w:qFormat/>
    <w:uiPriority w:val="34"/>
    <w:pPr>
      <w:ind w:left="720"/>
      <w:contextualSpacing/>
    </w:pPr>
  </w:style>
  <w:style w:type="character" w:customStyle="1" w:styleId="21">
    <w:name w:val="Plain Text Char"/>
    <w:semiHidden/>
    <w:qFormat/>
    <w:uiPriority w:val="0"/>
    <w:rPr>
      <w:rFonts w:ascii="宋体" w:hAnsi="宋体" w:eastAsia="宋体" w:cs="Times New Roman"/>
      <w:sz w:val="21"/>
      <w:lang w:eastAsia="zh-CN"/>
    </w:rPr>
  </w:style>
  <w:style w:type="character" w:customStyle="1" w:styleId="22">
    <w:name w:val="Balloon Text Char"/>
    <w:semiHidden/>
    <w:qFormat/>
    <w:uiPriority w:val="99"/>
    <w:rPr>
      <w:rFonts w:ascii="Cambria" w:hAnsi="Cambria" w:eastAsia="PMingLiU" w:cs="Times New Roman"/>
      <w:sz w:val="16"/>
      <w:szCs w:val="16"/>
    </w:rPr>
  </w:style>
  <w:style w:type="character" w:customStyle="1" w:styleId="23">
    <w:name w:val="Header Char"/>
    <w:qFormat/>
    <w:uiPriority w:val="99"/>
    <w:rPr>
      <w:lang w:val="en-US"/>
    </w:rPr>
  </w:style>
  <w:style w:type="character" w:customStyle="1" w:styleId="24">
    <w:name w:val="Footer Char"/>
    <w:qFormat/>
    <w:uiPriority w:val="99"/>
    <w:rPr>
      <w:lang w:val="en-US"/>
    </w:rPr>
  </w:style>
  <w:style w:type="character" w:customStyle="1" w:styleId="25">
    <w:name w:val="Comment Text Char"/>
    <w:semiHidden/>
    <w:qFormat/>
    <w:uiPriority w:val="99"/>
    <w:rPr>
      <w:lang w:val="en-US"/>
    </w:rPr>
  </w:style>
  <w:style w:type="character" w:customStyle="1" w:styleId="26">
    <w:name w:val="Comment Subject Char"/>
    <w:semiHidden/>
    <w:qFormat/>
    <w:uiPriority w:val="99"/>
    <w:rPr>
      <w:b/>
      <w:bCs/>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5</Pages>
  <Words>560</Words>
  <Characters>3196</Characters>
  <Lines>26</Lines>
  <Paragraphs>7</Paragraphs>
  <ScaleCrop>false</ScaleCrop>
  <LinksUpToDate>false</LinksUpToDate>
  <CharactersWithSpaces>3749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2020-06-22T02:19:00Z</dcterms:created>
  <dc:creator>Marcus Cheung</dc:creator>
  <cp:lastModifiedBy>田建华</cp:lastModifiedBy>
  <cp:lastPrinted>2020-06-29T08:30:49Z</cp:lastPrinted>
  <dcterms:modified xsi:type="dcterms:W3CDTF">2020-06-29T08:53:08Z</dcterms:modified>
  <dc:title>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r8>0</vt:r8>
  </property>
  <property fmtid="{D5CDD505-2E9C-101B-9397-08002B2CF9AE}" pid="3" name="KSOProductBuildVer">
    <vt:lpwstr>2052-10.8.0.6206</vt:lpwstr>
  </property>
  <property fmtid="{D5CDD505-2E9C-101B-9397-08002B2CF9AE}" pid="4" name="LinksUpToDate">
    <vt:bool>false</vt:bool>
  </property>
  <property fmtid="{D5CDD505-2E9C-101B-9397-08002B2CF9AE}" pid="5" name="ScaleCrop">
    <vt:bool>false</vt:bool>
  </property>
</Properties>
</file>