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87"/>
        <w:ind w:left="1502" w:right="1498"/>
        <w:jc w:val="center"/>
        <w:rPr>
          <w:rFonts w:eastAsia="PMingLiU"/>
          <w:b/>
          <w:color w:val="000000" w:themeColor="text1"/>
          <w:sz w:val="32"/>
          <w:szCs w:val="32"/>
          <w:lang w:val="en-GB" w:eastAsia="zh-TW"/>
          <w14:textFill>
            <w14:solidFill>
              <w14:schemeClr w14:val="tx1"/>
            </w14:solidFill>
          </w14:textFill>
        </w:rPr>
      </w:pPr>
      <w:r>
        <w:rPr>
          <w:rFonts w:hint="eastAsia" w:eastAsia="PMingLiU"/>
          <w:b/>
          <w:color w:val="000000" w:themeColor="text1"/>
          <w:sz w:val="32"/>
          <w:szCs w:val="32"/>
          <w:lang w:val="en-GB" w:eastAsia="zh-TW"/>
          <w14:textFill>
            <w14:solidFill>
              <w14:schemeClr w14:val="tx1"/>
            </w14:solidFill>
          </w14:textFill>
        </w:rPr>
        <w:t>山東新華製藥股份有限公司</w:t>
      </w:r>
    </w:p>
    <w:p>
      <w:pPr>
        <w:spacing w:before="87"/>
        <w:ind w:left="1502" w:right="1498"/>
        <w:jc w:val="center"/>
        <w:rPr>
          <w:rFonts w:eastAsia="PMingLiU"/>
          <w:color w:val="000000" w:themeColor="text1"/>
          <w:position w:val="2"/>
          <w:sz w:val="24"/>
          <w:szCs w:val="24"/>
          <w14:textFill>
            <w14:solidFill>
              <w14:schemeClr w14:val="tx1"/>
            </w14:solidFill>
          </w14:textFill>
        </w:rPr>
      </w:pPr>
      <w:r>
        <w:rPr>
          <w:rFonts w:eastAsia="PMingLiU"/>
          <w:color w:val="000000" w:themeColor="text1"/>
          <w:position w:val="2"/>
          <w:sz w:val="24"/>
          <w:szCs w:val="24"/>
          <w14:textFill>
            <w14:solidFill>
              <w14:schemeClr w14:val="tx1"/>
            </w14:solidFill>
          </w14:textFill>
        </w:rPr>
        <w:t>（於中華人民共和國註冊成立之股份有限公司）</w:t>
      </w:r>
    </w:p>
    <w:p>
      <w:pPr>
        <w:spacing w:before="87"/>
        <w:ind w:right="1498"/>
        <w:jc w:val="center"/>
        <w:rPr>
          <w:rFonts w:eastAsia="PMingLiU"/>
          <w:color w:val="000000" w:themeColor="text1"/>
          <w:position w:val="2"/>
          <w:sz w:val="24"/>
          <w:szCs w:val="24"/>
          <w:lang w:eastAsia="zh-CN"/>
          <w14:textFill>
            <w14:solidFill>
              <w14:schemeClr w14:val="tx1"/>
            </w14:solidFill>
          </w14:textFill>
        </w:rPr>
      </w:pPr>
      <w:r>
        <w:rPr>
          <w:rFonts w:eastAsia="PMingLiU"/>
          <w:color w:val="000000" w:themeColor="text1"/>
          <w:position w:val="2"/>
          <w:sz w:val="24"/>
          <w:szCs w:val="24"/>
          <w:lang w:eastAsia="zh-CN"/>
          <w14:textFill>
            <w14:solidFill>
              <w14:schemeClr w14:val="tx1"/>
            </w14:solidFill>
          </w14:textFill>
        </w:rPr>
        <w:t xml:space="preserve">                     </w:t>
      </w:r>
      <w:r>
        <w:rPr>
          <w:rFonts w:eastAsia="PMingLiU"/>
          <w:color w:val="000000" w:themeColor="text1"/>
          <w:position w:val="2"/>
          <w:sz w:val="24"/>
          <w:szCs w:val="24"/>
          <w14:textFill>
            <w14:solidFill>
              <w14:schemeClr w14:val="tx1"/>
            </w14:solidFill>
          </w14:textFill>
        </w:rPr>
        <w:t>（股份編號：</w:t>
      </w:r>
      <w:r>
        <w:rPr>
          <w:rFonts w:hint="eastAsia" w:eastAsia="PMingLiU"/>
          <w:color w:val="000000" w:themeColor="text1"/>
          <w:position w:val="2"/>
          <w:sz w:val="24"/>
          <w:szCs w:val="24"/>
          <w:lang w:eastAsia="zh-TW"/>
          <w14:textFill>
            <w14:solidFill>
              <w14:schemeClr w14:val="tx1"/>
            </w14:solidFill>
          </w14:textFill>
        </w:rPr>
        <w:t>0</w:t>
      </w:r>
      <w:r>
        <w:rPr>
          <w:rFonts w:eastAsia="PMingLiU"/>
          <w:color w:val="000000" w:themeColor="text1"/>
          <w:position w:val="2"/>
          <w:sz w:val="24"/>
          <w:szCs w:val="24"/>
          <w14:textFill>
            <w14:solidFill>
              <w14:schemeClr w14:val="tx1"/>
            </w14:solidFill>
          </w14:textFill>
        </w:rPr>
        <w:t>0719）</w:t>
      </w:r>
    </w:p>
    <w:p>
      <w:pPr>
        <w:spacing w:before="87"/>
        <w:ind w:right="1498"/>
        <w:jc w:val="both"/>
        <w:rPr>
          <w:rFonts w:eastAsia="PMingLiU"/>
          <w:color w:val="000000" w:themeColor="text1"/>
          <w:sz w:val="24"/>
          <w:szCs w:val="24"/>
          <w:lang w:eastAsia="zh-CN"/>
          <w14:textFill>
            <w14:solidFill>
              <w14:schemeClr w14:val="tx1"/>
            </w14:solidFill>
          </w14:textFill>
        </w:rPr>
      </w:pPr>
      <w:r>
        <w:rPr>
          <w:rFonts w:eastAsia="PMingLiU"/>
          <w:color w:val="000000" w:themeColor="text1"/>
          <w:position w:val="2"/>
          <w:sz w:val="24"/>
          <w:szCs w:val="24"/>
          <w:lang w:eastAsia="zh-TW"/>
          <w14:textFill>
            <w14:solidFill>
              <w14:schemeClr w14:val="tx1"/>
            </w14:solidFill>
          </w14:textFill>
        </w:rPr>
        <w:t xml:space="preserve">                                                              </w:t>
      </w:r>
      <w:r>
        <w:rPr>
          <w:rFonts w:eastAsia="PMingLiU"/>
          <w:color w:val="000000" w:themeColor="text1"/>
          <w:position w:val="2"/>
          <w:sz w:val="24"/>
          <w:szCs w:val="24"/>
          <w14:textFill>
            <w14:solidFill>
              <w14:schemeClr w14:val="tx1"/>
            </w14:solidFill>
          </w14:textFill>
        </w:rPr>
        <w:t>（「</w:t>
      </w:r>
      <w:r>
        <w:rPr>
          <w:rFonts w:eastAsia="PMingLiU"/>
          <w:b/>
          <w:color w:val="000000" w:themeColor="text1"/>
          <w:position w:val="2"/>
          <w:sz w:val="24"/>
          <w:szCs w:val="24"/>
          <w14:textFill>
            <w14:solidFill>
              <w14:schemeClr w14:val="tx1"/>
            </w14:solidFill>
          </w14:textFill>
        </w:rPr>
        <w:t>本公司</w:t>
      </w:r>
      <w:r>
        <w:rPr>
          <w:rFonts w:eastAsia="PMingLiU"/>
          <w:color w:val="000000" w:themeColor="text1"/>
          <w:position w:val="2"/>
          <w:sz w:val="24"/>
          <w:szCs w:val="24"/>
          <w14:textFill>
            <w14:solidFill>
              <w14:schemeClr w14:val="tx1"/>
            </w14:solidFill>
          </w14:textFill>
        </w:rPr>
        <w:t>」</w:t>
      </w:r>
      <w:r>
        <w:rPr>
          <w:rFonts w:eastAsia="PMingLiU"/>
          <w:color w:val="000000" w:themeColor="text1"/>
          <w:position w:val="2"/>
          <w:sz w:val="24"/>
          <w:szCs w:val="24"/>
          <w:lang w:eastAsia="zh-CN"/>
          <w14:textFill>
            <w14:solidFill>
              <w14:schemeClr w14:val="tx1"/>
            </w14:solidFill>
          </w14:textFill>
        </w:rPr>
        <w:t>）</w:t>
      </w:r>
    </w:p>
    <w:p>
      <w:pPr>
        <w:spacing w:before="87"/>
        <w:ind w:right="1498" w:firstLine="4080" w:firstLineChars="1700"/>
        <w:jc w:val="both"/>
        <w:rPr>
          <w:rFonts w:eastAsia="PMingLiU"/>
          <w:color w:val="000000" w:themeColor="text1"/>
          <w:sz w:val="24"/>
          <w:szCs w:val="24"/>
          <w:lang w:eastAsia="zh-CN"/>
          <w14:textFill>
            <w14:solidFill>
              <w14:schemeClr w14:val="tx1"/>
            </w14:solidFill>
          </w14:textFill>
        </w:rPr>
      </w:pPr>
    </w:p>
    <w:p>
      <w:pPr>
        <w:spacing w:before="87"/>
        <w:ind w:left="1502" w:right="1498"/>
        <w:jc w:val="center"/>
        <w:rPr>
          <w:rFonts w:eastAsia="PMingLiU"/>
          <w:b/>
          <w:color w:val="000000" w:themeColor="text1"/>
          <w:sz w:val="32"/>
          <w:lang w:eastAsia="zh-CN"/>
          <w14:textFill>
            <w14:solidFill>
              <w14:schemeClr w14:val="tx1"/>
            </w14:solidFill>
          </w14:textFill>
        </w:rPr>
      </w:pPr>
      <w:r>
        <w:rPr>
          <w:rFonts w:eastAsia="PMingLiU"/>
          <w:b/>
          <w:color w:val="000000" w:themeColor="text1"/>
          <w:sz w:val="32"/>
          <w:lang w:eastAsia="zh-CN"/>
          <w14:textFill>
            <w14:solidFill>
              <w14:schemeClr w14:val="tx1"/>
            </w14:solidFill>
          </w14:textFill>
        </w:rPr>
        <w:t>董事會下屬審核委員會的職權範圍</w:t>
      </w:r>
    </w:p>
    <w:p>
      <w:pPr>
        <w:pStyle w:val="4"/>
        <w:spacing w:before="1"/>
        <w:ind w:left="355" w:right="352"/>
        <w:jc w:val="center"/>
        <w:rPr>
          <w:rFonts w:eastAsia="PMingLiU"/>
          <w:color w:val="000000" w:themeColor="text1"/>
          <w:lang w:eastAsia="zh-TW"/>
          <w14:textFill>
            <w14:solidFill>
              <w14:schemeClr w14:val="tx1"/>
            </w14:solidFill>
          </w14:textFill>
        </w:rPr>
      </w:pPr>
      <w:r>
        <w:rPr>
          <w:rFonts w:hint="eastAsia" w:eastAsia="PMingLiU"/>
          <w:color w:val="000000" w:themeColor="text1"/>
          <w:lang w:eastAsia="zh-TW"/>
          <w14:textFill>
            <w14:solidFill>
              <w14:schemeClr w14:val="tx1"/>
            </w14:solidFill>
          </w14:textFill>
        </w:rPr>
        <w:t>（</w:t>
      </w:r>
      <w:r>
        <w:rPr>
          <w:rFonts w:eastAsia="PMingLiU"/>
          <w:color w:val="000000" w:themeColor="text1"/>
          <w:lang w:eastAsia="zh-TW"/>
          <w14:textFill>
            <w14:solidFill>
              <w14:schemeClr w14:val="tx1"/>
            </w14:solidFill>
          </w14:textFill>
        </w:rPr>
        <w:t>該等職權範圍均以中文及英文編製，倘兩個版本有任何不一致，概以中文版本為準</w:t>
      </w:r>
      <w:r>
        <w:rPr>
          <w:rFonts w:hint="eastAsia" w:eastAsia="PMingLiU"/>
          <w:color w:val="000000" w:themeColor="text1"/>
          <w:lang w:eastAsia="zh-TW"/>
          <w14:textFill>
            <w14:solidFill>
              <w14:schemeClr w14:val="tx1"/>
            </w14:solidFill>
          </w14:textFill>
        </w:rPr>
        <w:t>）</w:t>
      </w:r>
    </w:p>
    <w:p>
      <w:pPr>
        <w:pStyle w:val="4"/>
        <w:spacing w:before="1"/>
        <w:ind w:left="355" w:right="352"/>
        <w:jc w:val="center"/>
        <w:rPr>
          <w:rFonts w:eastAsia="PMingLiU"/>
          <w:color w:val="000000" w:themeColor="text1"/>
          <w:lang w:eastAsia="zh-TW"/>
          <w14:textFill>
            <w14:solidFill>
              <w14:schemeClr w14:val="tx1"/>
            </w14:solidFill>
          </w14:textFill>
        </w:rPr>
      </w:pPr>
    </w:p>
    <w:p>
      <w:pPr>
        <w:pStyle w:val="4"/>
        <w:spacing w:before="1"/>
        <w:ind w:left="355" w:right="352"/>
        <w:jc w:val="center"/>
        <w:rPr>
          <w:rFonts w:eastAsia="PMingLiU"/>
          <w:color w:val="000000" w:themeColor="text1"/>
          <w:lang w:eastAsia="zh-TW"/>
          <w14:textFill>
            <w14:solidFill>
              <w14:schemeClr w14:val="tx1"/>
            </w14:solidFill>
          </w14:textFill>
        </w:rPr>
      </w:pPr>
    </w:p>
    <w:p>
      <w:pPr>
        <w:pStyle w:val="4"/>
        <w:spacing w:before="1"/>
        <w:ind w:left="355" w:right="352"/>
        <w:jc w:val="center"/>
        <w:rPr>
          <w:rFonts w:eastAsia="PMingLiU"/>
          <w:color w:val="000000" w:themeColor="text1"/>
          <w:lang w:eastAsia="zh-TW"/>
          <w14:textFill>
            <w14:solidFill>
              <w14:schemeClr w14:val="tx1"/>
            </w14:solidFill>
          </w14:textFill>
        </w:rPr>
      </w:pPr>
      <w:r>
        <w:rPr>
          <w:rFonts w:eastAsia="PMingLiU"/>
          <w:color w:val="000000" w:themeColor="text1"/>
          <w:lang w:eastAsia="zh-TW"/>
          <w14:textFill>
            <w14:solidFill>
              <w14:schemeClr w14:val="tx1"/>
            </w14:solidFill>
          </w14:textFill>
        </w:rPr>
        <w:t>於</w:t>
      </w:r>
      <w:r>
        <w:rPr>
          <w:rFonts w:hint="eastAsia" w:eastAsia="宋体"/>
          <w:color w:val="000000" w:themeColor="text1"/>
          <w:lang w:eastAsia="zh-CN"/>
          <w14:textFill>
            <w14:solidFill>
              <w14:schemeClr w14:val="tx1"/>
            </w14:solidFill>
          </w14:textFill>
        </w:rPr>
        <w:t>1999</w:t>
      </w:r>
      <w:r>
        <w:rPr>
          <w:rFonts w:eastAsia="PMingLiU"/>
          <w:color w:val="000000" w:themeColor="text1"/>
          <w:lang w:eastAsia="zh-TW"/>
          <w14:textFill>
            <w14:solidFill>
              <w14:schemeClr w14:val="tx1"/>
            </w14:solidFill>
          </w14:textFill>
        </w:rPr>
        <w:t>年</w:t>
      </w:r>
      <w:r>
        <w:rPr>
          <w:rFonts w:hint="eastAsia" w:eastAsia="宋体"/>
          <w:color w:val="000000" w:themeColor="text1"/>
          <w:lang w:eastAsia="zh-CN"/>
          <w14:textFill>
            <w14:solidFill>
              <w14:schemeClr w14:val="tx1"/>
            </w14:solidFill>
          </w14:textFill>
        </w:rPr>
        <w:t>7</w:t>
      </w:r>
      <w:r>
        <w:rPr>
          <w:rFonts w:eastAsia="PMingLiU"/>
          <w:color w:val="000000" w:themeColor="text1"/>
          <w:lang w:eastAsia="zh-TW"/>
          <w14:textFill>
            <w14:solidFill>
              <w14:schemeClr w14:val="tx1"/>
            </w14:solidFill>
          </w14:textFill>
        </w:rPr>
        <w:t>月</w:t>
      </w:r>
      <w:r>
        <w:rPr>
          <w:rFonts w:hint="eastAsia" w:eastAsia="宋体"/>
          <w:color w:val="000000" w:themeColor="text1"/>
          <w:lang w:eastAsia="zh-CN"/>
          <w14:textFill>
            <w14:solidFill>
              <w14:schemeClr w14:val="tx1"/>
            </w14:solidFill>
          </w14:textFill>
        </w:rPr>
        <w:t>1</w:t>
      </w:r>
      <w:r>
        <w:rPr>
          <w:rFonts w:eastAsia="PMingLiU"/>
          <w:color w:val="000000" w:themeColor="text1"/>
          <w:lang w:eastAsia="zh-TW"/>
          <w14:textFill>
            <w14:solidFill>
              <w14:schemeClr w14:val="tx1"/>
            </w14:solidFill>
          </w14:textFill>
        </w:rPr>
        <w:t>日經本公司董事會（「</w:t>
      </w:r>
      <w:r>
        <w:rPr>
          <w:rFonts w:eastAsia="PMingLiU"/>
          <w:b/>
          <w:color w:val="000000" w:themeColor="text1"/>
          <w:lang w:eastAsia="zh-TW"/>
          <w14:textFill>
            <w14:solidFill>
              <w14:schemeClr w14:val="tx1"/>
            </w14:solidFill>
          </w14:textFill>
        </w:rPr>
        <w:t>董事會</w:t>
      </w:r>
      <w:r>
        <w:rPr>
          <w:rFonts w:eastAsia="PMingLiU"/>
          <w:color w:val="000000" w:themeColor="text1"/>
          <w:lang w:eastAsia="zh-TW"/>
          <w14:textFill>
            <w14:solidFill>
              <w14:schemeClr w14:val="tx1"/>
            </w14:solidFill>
          </w14:textFill>
        </w:rPr>
        <w:t>」）批准，並於2020年</w:t>
      </w:r>
      <w:r>
        <w:rPr>
          <w:rFonts w:hint="eastAsia" w:eastAsia="宋体"/>
          <w:color w:val="000000" w:themeColor="text1"/>
          <w:lang w:eastAsia="zh-CN"/>
          <w14:textFill>
            <w14:solidFill>
              <w14:schemeClr w14:val="tx1"/>
            </w14:solidFill>
          </w14:textFill>
        </w:rPr>
        <w:t>8</w:t>
      </w:r>
      <w:r>
        <w:rPr>
          <w:rFonts w:eastAsia="PMingLiU"/>
          <w:color w:val="000000" w:themeColor="text1"/>
          <w:lang w:eastAsia="zh-TW"/>
          <w14:textFill>
            <w14:solidFill>
              <w14:schemeClr w14:val="tx1"/>
            </w14:solidFill>
          </w14:textFill>
        </w:rPr>
        <w:t>月</w:t>
      </w:r>
      <w:r>
        <w:rPr>
          <w:rFonts w:hint="eastAsia" w:eastAsia="宋体"/>
          <w:color w:val="000000" w:themeColor="text1"/>
          <w:lang w:eastAsia="zh-CN"/>
          <w14:textFill>
            <w14:solidFill>
              <w14:schemeClr w14:val="tx1"/>
            </w14:solidFill>
          </w14:textFill>
        </w:rPr>
        <w:t>21</w:t>
      </w:r>
      <w:r>
        <w:rPr>
          <w:rFonts w:eastAsia="PMingLiU"/>
          <w:color w:val="000000" w:themeColor="text1"/>
          <w:lang w:eastAsia="zh-TW"/>
          <w14:textFill>
            <w14:solidFill>
              <w14:schemeClr w14:val="tx1"/>
            </w14:solidFill>
          </w14:textFill>
        </w:rPr>
        <w:t>日最近修訂與採用。</w:t>
      </w:r>
    </w:p>
    <w:p>
      <w:pPr>
        <w:pStyle w:val="2"/>
        <w:rPr>
          <w:rFonts w:eastAsia="PMingLiU"/>
          <w:color w:val="000000" w:themeColor="text1"/>
          <w:sz w:val="22"/>
          <w:szCs w:val="22"/>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一般規定</w:t>
      </w:r>
    </w:p>
    <w:p>
      <w:pPr>
        <w:pStyle w:val="4"/>
        <w:spacing w:before="4"/>
        <w:rPr>
          <w:rFonts w:eastAsia="PMingLiU"/>
          <w:b/>
          <w:color w:val="000000" w:themeColor="text1"/>
          <w:sz w:val="22"/>
          <w:szCs w:val="22"/>
          <w:lang w:eastAsia="zh-TW"/>
          <w14:textFill>
            <w14:solidFill>
              <w14:schemeClr w14:val="tx1"/>
            </w14:solidFill>
          </w14:textFill>
        </w:rPr>
      </w:pPr>
    </w:p>
    <w:p>
      <w:pPr>
        <w:pStyle w:val="13"/>
        <w:tabs>
          <w:tab w:val="left" w:pos="720"/>
        </w:tabs>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第一條：本公司須成立董事會下屬審核委員會（「</w:t>
      </w:r>
      <w:r>
        <w:rPr>
          <w:rFonts w:hint="eastAsia" w:ascii="宋体" w:hAnsi="宋体" w:eastAsia="宋体" w:cs="宋体"/>
          <w:b/>
          <w:color w:val="000000" w:themeColor="text1"/>
          <w:lang w:eastAsia="zh-TW"/>
          <w14:textFill>
            <w14:solidFill>
              <w14:schemeClr w14:val="tx1"/>
            </w14:solidFill>
          </w14:textFill>
        </w:rPr>
        <w:t>審核委員會</w:t>
      </w:r>
      <w:r>
        <w:rPr>
          <w:rFonts w:hint="eastAsia" w:ascii="宋体" w:hAnsi="宋体" w:eastAsia="宋体" w:cs="宋体"/>
          <w:color w:val="000000" w:themeColor="text1"/>
          <w:lang w:eastAsia="zh-TW"/>
          <w14:textFill>
            <w14:solidFill>
              <w14:schemeClr w14:val="tx1"/>
            </w14:solidFill>
          </w14:textFill>
        </w:rPr>
        <w:t xml:space="preserve">」）。 </w:t>
      </w: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第二條：審核委員會職權範圍應遵守中華人民共和國（「</w:t>
      </w:r>
      <w:r>
        <w:rPr>
          <w:rFonts w:hint="eastAsia" w:ascii="宋体" w:hAnsi="宋体" w:eastAsia="宋体" w:cs="宋体"/>
          <w:b/>
          <w:color w:val="000000" w:themeColor="text1"/>
          <w:lang w:eastAsia="zh-TW"/>
          <w14:textFill>
            <w14:solidFill>
              <w14:schemeClr w14:val="tx1"/>
            </w14:solidFill>
          </w14:textFill>
        </w:rPr>
        <w:t>中國</w:t>
      </w:r>
      <w:r>
        <w:rPr>
          <w:rFonts w:hint="eastAsia" w:ascii="宋体" w:hAnsi="宋体" w:eastAsia="宋体" w:cs="宋体"/>
          <w:color w:val="000000" w:themeColor="text1"/>
          <w:lang w:eastAsia="zh-TW"/>
          <w14:textFill>
            <w14:solidFill>
              <w14:schemeClr w14:val="tx1"/>
            </w14:solidFill>
          </w14:textFill>
        </w:rPr>
        <w:t>」）公司法、（中國）上市公司治理準則、關於在（中國）上市公司建立獨立董事制度的指導意見、公司章程、</w:t>
      </w:r>
      <w:r>
        <w:rPr>
          <w:rFonts w:hint="eastAsia" w:ascii="宋体" w:hAnsi="宋体" w:eastAsia="宋体" w:cs="宋体"/>
          <w:color w:val="000000" w:themeColor="text1"/>
          <w:lang w:eastAsia="zh-CN"/>
          <w14:textFill>
            <w14:solidFill>
              <w14:schemeClr w14:val="tx1"/>
            </w14:solidFill>
          </w14:textFill>
        </w:rPr>
        <w:fldChar w:fldCharType="begin"/>
      </w:r>
      <w:r>
        <w:rPr>
          <w:rFonts w:hint="eastAsia" w:ascii="宋体" w:hAnsi="宋体" w:eastAsia="宋体" w:cs="宋体"/>
          <w:color w:val="000000" w:themeColor="text1"/>
          <w:lang w:eastAsia="zh-TW"/>
          <w14:textFill>
            <w14:solidFill>
              <w14:schemeClr w14:val="tx1"/>
            </w14:solidFill>
          </w14:textFill>
        </w:rPr>
        <w:instrText xml:space="preserve"> HYPERLINK "https://www.baidu.com/link?url=d-OvQvqSXOO7FnJFf9JdH4eARxir8Ax1LO3IQQXBLNdRU2lHXNWrorRwyitkRGhavMh31sxHLAV-W0poZucZrbRo4pOw7GROuuhPVGkoIJ7&amp;wd=&amp;eqid=93d077dc00044056000000065f069f4b" \t "https://www.baidu.com/_blank" </w:instrText>
      </w:r>
      <w:r>
        <w:rPr>
          <w:rFonts w:hint="eastAsia" w:ascii="宋体" w:hAnsi="宋体" w:eastAsia="宋体" w:cs="宋体"/>
          <w:color w:val="000000" w:themeColor="text1"/>
          <w:lang w:eastAsia="zh-CN"/>
          <w14:textFill>
            <w14:solidFill>
              <w14:schemeClr w14:val="tx1"/>
            </w14:solidFill>
          </w14:textFill>
        </w:rPr>
        <w:fldChar w:fldCharType="separate"/>
      </w:r>
      <w:r>
        <w:rPr>
          <w:rFonts w:hint="eastAsia" w:ascii="宋体" w:hAnsi="宋体" w:eastAsia="宋体" w:cs="宋体"/>
          <w:color w:val="000000" w:themeColor="text1"/>
          <w:lang w:eastAsia="zh-TW"/>
          <w14:textFill>
            <w14:solidFill>
              <w14:schemeClr w14:val="tx1"/>
            </w14:solidFill>
          </w14:textFill>
        </w:rPr>
        <w:t>香港聯合交易所有限公司證券上市規則 </w:t>
      </w:r>
      <w:r>
        <w:rPr>
          <w:rFonts w:hint="eastAsia" w:ascii="宋体" w:hAnsi="宋体" w:eastAsia="宋体" w:cs="宋体"/>
          <w:color w:val="000000" w:themeColor="text1"/>
          <w:lang w:eastAsia="zh-CN"/>
          <w14:textFill>
            <w14:solidFill>
              <w14:schemeClr w14:val="tx1"/>
            </w14:solidFill>
          </w14:textFill>
        </w:rPr>
        <w:fldChar w:fldCharType="end"/>
      </w:r>
      <w:r>
        <w:rPr>
          <w:rFonts w:hint="eastAsia" w:ascii="宋体" w:hAnsi="宋体" w:eastAsia="宋体" w:cs="宋体"/>
          <w:color w:val="000000" w:themeColor="text1"/>
          <w:lang w:eastAsia="zh-TW"/>
          <w14:textFill>
            <w14:solidFill>
              <w14:schemeClr w14:val="tx1"/>
            </w14:solidFill>
          </w14:textFill>
        </w:rPr>
        <w:t>（「</w:t>
      </w:r>
      <w:r>
        <w:rPr>
          <w:rFonts w:hint="eastAsia" w:ascii="宋体" w:hAnsi="宋体" w:eastAsia="宋体" w:cs="宋体"/>
          <w:b/>
          <w:color w:val="000000" w:themeColor="text1"/>
          <w:lang w:eastAsia="zh-TW"/>
          <w14:textFill>
            <w14:solidFill>
              <w14:schemeClr w14:val="tx1"/>
            </w14:solidFill>
          </w14:textFill>
        </w:rPr>
        <w:t>上市規則</w:t>
      </w:r>
      <w:r>
        <w:rPr>
          <w:rFonts w:hint="eastAsia" w:ascii="宋体" w:hAnsi="宋体" w:eastAsia="宋体" w:cs="宋体"/>
          <w:color w:val="000000" w:themeColor="text1"/>
          <w:lang w:eastAsia="zh-TW"/>
          <w14:textFill>
            <w14:solidFill>
              <w14:schemeClr w14:val="tx1"/>
            </w14:solidFill>
          </w14:textFill>
        </w:rPr>
        <w:t>」）及其他相關規定。</w:t>
      </w: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ind w:left="334" w:leftChars="-248" w:right="158" w:hanging="880" w:hangingChars="4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第三條：該等職權範圍中，「</w:t>
      </w:r>
      <w:r>
        <w:rPr>
          <w:rFonts w:hint="eastAsia" w:ascii="宋体" w:hAnsi="宋体" w:eastAsia="宋体" w:cs="宋体"/>
          <w:b/>
          <w:color w:val="000000" w:themeColor="text1"/>
          <w:lang w:eastAsia="zh-TW"/>
          <w14:textFill>
            <w14:solidFill>
              <w14:schemeClr w14:val="tx1"/>
            </w14:solidFill>
          </w14:textFill>
        </w:rPr>
        <w:t>董事</w:t>
      </w:r>
      <w:r>
        <w:rPr>
          <w:rFonts w:hint="eastAsia" w:ascii="宋体" w:hAnsi="宋体" w:eastAsia="宋体" w:cs="宋体"/>
          <w:color w:val="000000" w:themeColor="text1"/>
          <w:lang w:eastAsia="zh-TW"/>
          <w14:textFill>
            <w14:solidFill>
              <w14:schemeClr w14:val="tx1"/>
            </w14:solidFill>
          </w14:textFill>
        </w:rPr>
        <w:t>」指本公司董事會董事，「</w:t>
      </w:r>
      <w:r>
        <w:rPr>
          <w:rFonts w:hint="eastAsia" w:ascii="宋体" w:hAnsi="宋体" w:eastAsia="宋体" w:cs="宋体"/>
          <w:b/>
          <w:color w:val="000000" w:themeColor="text1"/>
          <w:lang w:eastAsia="zh-TW"/>
          <w14:textFill>
            <w14:solidFill>
              <w14:schemeClr w14:val="tx1"/>
            </w14:solidFill>
          </w14:textFill>
        </w:rPr>
        <w:t>高級管理層</w:t>
      </w:r>
      <w:r>
        <w:rPr>
          <w:rFonts w:hint="eastAsia" w:ascii="宋体" w:hAnsi="宋体" w:eastAsia="宋体" w:cs="宋体"/>
          <w:color w:val="000000" w:themeColor="text1"/>
          <w:lang w:eastAsia="zh-TW"/>
          <w14:textFill>
            <w14:solidFill>
              <w14:schemeClr w14:val="tx1"/>
            </w14:solidFill>
          </w14:textFill>
        </w:rPr>
        <w:t>」指總經理及副總經理、董事會秘書及董事會根據總經理推薦而委任的其他高級管理層。</w:t>
      </w:r>
    </w:p>
    <w:p>
      <w:pPr>
        <w:pStyle w:val="13"/>
        <w:rPr>
          <w:rFonts w:ascii="宋体" w:hAnsi="宋体" w:eastAsia="宋体" w:cs="宋体"/>
          <w:color w:val="000000" w:themeColor="text1"/>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成員</w:t>
      </w:r>
    </w:p>
    <w:p>
      <w:pPr>
        <w:pStyle w:val="4"/>
        <w:spacing w:before="5"/>
        <w:ind w:left="533" w:right="158"/>
        <w:jc w:val="both"/>
        <w:rPr>
          <w:rFonts w:eastAsia="PMingLiU"/>
          <w:b/>
          <w:color w:val="000000" w:themeColor="text1"/>
          <w:sz w:val="22"/>
          <w:szCs w:val="22"/>
          <w:lang w:eastAsia="zh-TW"/>
          <w14:textFill>
            <w14:solidFill>
              <w14:schemeClr w14:val="tx1"/>
            </w14:solidFill>
          </w14:textFill>
        </w:rPr>
      </w:pPr>
    </w:p>
    <w:p>
      <w:pPr>
        <w:pStyle w:val="13"/>
        <w:tabs>
          <w:tab w:val="left" w:pos="720"/>
        </w:tabs>
        <w:spacing w:before="1"/>
        <w:ind w:left="334" w:leftChars="-248" w:right="158" w:hanging="880" w:hangingChars="4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第四條：審核委員會成員由董事會從董事會的非執行董事中委任，大部分成員須為獨立。根據上市規則第3.10(2)條規定，審核委員會由三名</w:t>
      </w:r>
      <w:r>
        <w:rPr>
          <w:rFonts w:hint="eastAsia" w:ascii="宋体" w:hAnsi="宋体" w:eastAsia="宋体" w:cs="宋体"/>
          <w:color w:val="000000" w:themeColor="text1"/>
          <w:lang w:eastAsia="zh-CN"/>
          <w14:textFill>
            <w14:solidFill>
              <w14:schemeClr w14:val="tx1"/>
            </w14:solidFill>
          </w14:textFill>
        </w:rPr>
        <w:t>獨立非執行董事</w:t>
      </w:r>
      <w:r>
        <w:rPr>
          <w:rFonts w:hint="eastAsia" w:ascii="宋体" w:hAnsi="宋体" w:eastAsia="宋体" w:cs="宋体"/>
          <w:color w:val="000000" w:themeColor="text1"/>
          <w:lang w:eastAsia="zh-TW"/>
          <w14:textFill>
            <w14:solidFill>
              <w14:schemeClr w14:val="tx1"/>
            </w14:solidFill>
          </w14:textFill>
        </w:rPr>
        <w:t>（「</w:t>
      </w:r>
      <w:r>
        <w:rPr>
          <w:rFonts w:hint="eastAsia" w:ascii="宋体" w:hAnsi="宋体" w:eastAsia="宋体" w:cs="宋体"/>
          <w:b/>
          <w:color w:val="000000" w:themeColor="text1"/>
          <w:lang w:eastAsia="zh-TW"/>
          <w14:textFill>
            <w14:solidFill>
              <w14:schemeClr w14:val="tx1"/>
            </w14:solidFill>
          </w14:textFill>
        </w:rPr>
        <w:t>獨立非執行董事</w:t>
      </w:r>
      <w:r>
        <w:rPr>
          <w:rFonts w:hint="eastAsia" w:ascii="宋体" w:hAnsi="宋体" w:eastAsia="宋体" w:cs="宋体"/>
          <w:color w:val="000000" w:themeColor="text1"/>
          <w:lang w:eastAsia="zh-TW"/>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组成</w:t>
      </w:r>
      <w:r>
        <w:rPr>
          <w:rFonts w:hint="eastAsia" w:ascii="宋体" w:hAnsi="宋体" w:eastAsia="宋体" w:cs="宋体"/>
          <w:color w:val="000000" w:themeColor="text1"/>
          <w:lang w:eastAsia="zh-TW"/>
          <w14:textFill>
            <w14:solidFill>
              <w14:schemeClr w14:val="tx1"/>
            </w14:solidFill>
          </w14:textFill>
        </w:rPr>
        <w:t>，最少一名委員會成員須為具備適當專業資格或會計或相關財務管理專長的獨立非執行董事。</w:t>
      </w:r>
    </w:p>
    <w:p>
      <w:pPr>
        <w:pStyle w:val="13"/>
        <w:tabs>
          <w:tab w:val="left" w:pos="371"/>
        </w:tabs>
        <w:spacing w:before="1"/>
        <w:ind w:left="846" w:right="158"/>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第五條：審核委員會召集人應為一名獨立非執行董事，負責提供審核委員會的領導工作，並須由本公司董事會委任。</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334" w:leftChars="-248" w:right="158" w:hanging="880" w:hangingChars="4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第六條：本公司現時的核數公司不時的前合夥人自彼不再(a) 為該核數公司合夥人或(b) 擁有該核數公司任何財務利益之日（以較遲者為準）起計兩年期間內，不得擔任審核委員會成員。</w:t>
      </w: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 xml:space="preserve">  </w:t>
      </w:r>
    </w:p>
    <w:p>
      <w:pPr>
        <w:pStyle w:val="13"/>
        <w:tabs>
          <w:tab w:val="left" w:pos="720"/>
        </w:tabs>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第七條：審核委員會召集人須：</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2"/>
        </w:numPr>
        <w:tabs>
          <w:tab w:val="left" w:pos="108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召開及主持審核委員會會議；</w:t>
      </w:r>
    </w:p>
    <w:p>
      <w:pPr>
        <w:pStyle w:val="13"/>
        <w:tabs>
          <w:tab w:val="left" w:pos="1080"/>
        </w:tabs>
        <w:ind w:left="1080"/>
        <w:rPr>
          <w:rFonts w:eastAsia="PMingLiU"/>
          <w:color w:val="000000" w:themeColor="text1"/>
          <w:lang w:eastAsia="zh-TW"/>
          <w14:textFill>
            <w14:solidFill>
              <w14:schemeClr w14:val="tx1"/>
            </w14:solidFill>
          </w14:textFill>
        </w:rPr>
      </w:pPr>
    </w:p>
    <w:p>
      <w:pPr>
        <w:pStyle w:val="13"/>
        <w:numPr>
          <w:ilvl w:val="0"/>
          <w:numId w:val="2"/>
        </w:numPr>
        <w:tabs>
          <w:tab w:val="left" w:pos="108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審閱及簽署審核委員會報告；</w:t>
      </w:r>
    </w:p>
    <w:p>
      <w:pPr>
        <w:tabs>
          <w:tab w:val="left" w:pos="1080"/>
        </w:tabs>
        <w:rPr>
          <w:rFonts w:ascii="宋体" w:hAnsi="宋体" w:eastAsia="宋体" w:cs="宋体"/>
          <w:color w:val="000000" w:themeColor="text1"/>
          <w:lang w:eastAsia="zh-TW"/>
          <w14:textFill>
            <w14:solidFill>
              <w14:schemeClr w14:val="tx1"/>
            </w14:solidFill>
          </w14:textFill>
        </w:rPr>
      </w:pPr>
    </w:p>
    <w:p>
      <w:pPr>
        <w:pStyle w:val="13"/>
        <w:numPr>
          <w:ilvl w:val="0"/>
          <w:numId w:val="2"/>
        </w:numPr>
        <w:tabs>
          <w:tab w:val="left" w:pos="108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審閱審核委員會決議案的執行情況；</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2"/>
        </w:numPr>
        <w:tabs>
          <w:tab w:val="left" w:pos="108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代表審核委員會向董事會報告工作；及</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2"/>
        </w:numPr>
        <w:tabs>
          <w:tab w:val="left" w:pos="108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執行審核委員會召集人應盡的其他職務。</w:t>
      </w:r>
    </w:p>
    <w:p>
      <w:pPr>
        <w:pStyle w:val="13"/>
        <w:rPr>
          <w:rFonts w:ascii="宋体" w:hAnsi="宋体" w:eastAsia="宋体" w:cs="宋体"/>
          <w:color w:val="000000" w:themeColor="text1"/>
          <w:lang w:eastAsia="zh-TW"/>
          <w14:textFill>
            <w14:solidFill>
              <w14:schemeClr w14:val="tx1"/>
            </w14:solidFill>
          </w14:textFill>
        </w:rPr>
      </w:pPr>
    </w:p>
    <w:p>
      <w:pPr>
        <w:pStyle w:val="13"/>
        <w:tabs>
          <w:tab w:val="left" w:pos="720"/>
        </w:tabs>
        <w:ind w:left="334" w:leftChars="-248" w:right="158" w:hanging="880" w:hangingChars="4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八條：審核委員會成員任期與董事會董事任期相同。任期屆滿的審核委員會成員可獲重選連任。任期內，倘一成員不再擔任本公司董事，則該成員將自動喪失審核委員會成員的資格，董事會須根據該等職權範圍的第四條、第五條及第六條填補職位空缺。</w:t>
      </w: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第九條：審核委員會成員須：</w:t>
      </w:r>
    </w:p>
    <w:p>
      <w:pPr>
        <w:pStyle w:val="13"/>
        <w:tabs>
          <w:tab w:val="left" w:pos="720"/>
        </w:tabs>
        <w:ind w:left="0" w:right="158"/>
        <w:rPr>
          <w:rFonts w:ascii="宋体" w:hAnsi="宋体" w:eastAsia="宋体" w:cs="宋体"/>
          <w:color w:val="000000" w:themeColor="text1"/>
          <w:lang w:eastAsia="zh-TW"/>
          <w14:textFill>
            <w14:solidFill>
              <w14:schemeClr w14:val="tx1"/>
            </w14:solidFill>
          </w14:textFill>
        </w:rPr>
      </w:pP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numPr>
          <w:ilvl w:val="0"/>
          <w:numId w:val="3"/>
        </w:numPr>
        <w:tabs>
          <w:tab w:val="left" w:pos="72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熟悉本公司運營及管理以及適用於本公司的相關法律法規；</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numPr>
          <w:ilvl w:val="0"/>
          <w:numId w:val="3"/>
        </w:numPr>
        <w:tabs>
          <w:tab w:val="left" w:pos="72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誠實守信、廉潔自律、忠於職守，積極維護本公司及其股東的權益；及</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3"/>
        </w:numPr>
        <w:tabs>
          <w:tab w:val="left" w:pos="720"/>
        </w:tabs>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在商務、金融及／或會計板塊擁有適當及相關知識、專業知識及經驗。</w:t>
      </w:r>
    </w:p>
    <w:p>
      <w:pPr>
        <w:tabs>
          <w:tab w:val="left" w:pos="720"/>
        </w:tabs>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 xml:space="preserve"> </w:t>
      </w: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第十條：審核委員會的行政辦公室應為董事會的行政辦公室。董事會行政辦公室須負責審核委員會日常事務。</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第十一條：董事會可根據審核委員會成員的時間貢獻及職責向其支付適當薪酬。</w:t>
      </w:r>
    </w:p>
    <w:p>
      <w:pPr>
        <w:tabs>
          <w:tab w:val="left" w:pos="350"/>
        </w:tabs>
        <w:ind w:left="-547" w:right="158"/>
        <w:rPr>
          <w:rFonts w:ascii="宋体" w:hAnsi="宋体" w:eastAsia="宋体" w:cs="宋体"/>
          <w:color w:val="000000" w:themeColor="text1"/>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會議</w:t>
      </w:r>
    </w:p>
    <w:p>
      <w:pPr>
        <w:pStyle w:val="4"/>
        <w:spacing w:before="5"/>
        <w:ind w:left="533" w:right="158"/>
        <w:jc w:val="both"/>
        <w:rPr>
          <w:rFonts w:eastAsia="PMingLiU"/>
          <w:b/>
          <w:color w:val="000000" w:themeColor="text1"/>
          <w:sz w:val="22"/>
          <w:szCs w:val="22"/>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第十二條：審核委員會須每年舉行至少兩次會議。本公司外聘核數師如認為需要，可要求舉行會議。</w:t>
      </w: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第十三條：審核委員會召集人須擔任會議主席，在其缺席的情況下，出席審核委員會之餘下成員須從中選舉一名成員（為獨立非執行董事）主持會議。</w:t>
      </w:r>
    </w:p>
    <w:p>
      <w:pPr>
        <w:pStyle w:val="13"/>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第十四條：會議時間、地點及提呈的主要議程項目應在該會議前七日通過傳真、快遞或掛號信或專人遞送等方式送交審核委員會成員。</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bookmarkStart w:id="2" w:name="_GoBack"/>
      <w:bookmarkEnd w:id="2"/>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第十五條：審核委員會會議的法定人數須最少為兩名成員，其中一名須為本公司獨立非執行董事。</w:t>
      </w:r>
    </w:p>
    <w:p>
      <w:pPr>
        <w:pStyle w:val="13"/>
        <w:tabs>
          <w:tab w:val="left" w:pos="720"/>
        </w:tabs>
        <w:spacing w:before="1"/>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第十六條：</w:t>
      </w:r>
      <w:bookmarkStart w:id="0" w:name="OLE_LINK2"/>
      <w:r>
        <w:rPr>
          <w:rFonts w:hint="eastAsia" w:ascii="宋体" w:hAnsi="宋体" w:eastAsia="宋体" w:cs="宋体"/>
          <w:color w:val="000000" w:themeColor="text1"/>
          <w:lang w:eastAsia="zh-TW"/>
          <w14:textFill>
            <w14:solidFill>
              <w14:schemeClr w14:val="tx1"/>
            </w14:solidFill>
          </w14:textFill>
        </w:rPr>
        <w:t>會</w:t>
      </w:r>
      <w:bookmarkEnd w:id="0"/>
      <w:r>
        <w:rPr>
          <w:rFonts w:hint="eastAsia" w:ascii="宋体" w:hAnsi="宋体" w:eastAsia="宋体" w:cs="宋体"/>
          <w:color w:val="000000" w:themeColor="text1"/>
          <w:lang w:eastAsia="zh-TW"/>
          <w14:textFill>
            <w14:solidFill>
              <w14:schemeClr w14:val="tx1"/>
            </w14:solidFill>
          </w14:textFill>
        </w:rPr>
        <w:t>議可親身、通過電話或視象會議等方式舉行。成員可透過電話會議或同類通訊器材參與會議，惟所有出席會議之人士須能聆聽其他與會者發言。</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第十七條：審核委員會決議案須以過半數表決通過。</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第十八條：全體委員會成員簽署的書面決議案與正式召開並舉行的審核委員會會議上通過的決議案同樣有效。</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ind w:left="554" w:leftChars="-248"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第十九條：董事會秘書須擔任審核委員會秘書，在公司秘書缺席的情況下，審核委員會成員或其提名人須擔任秘書職位。</w:t>
      </w:r>
    </w:p>
    <w:p>
      <w:pPr>
        <w:pStyle w:val="13"/>
        <w:tabs>
          <w:tab w:val="left" w:pos="720"/>
        </w:tabs>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90"/>
        <w:ind w:left="554" w:leftChars="-24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條：本公司的公司秘書須保管審核委員會會議記錄。會議記錄須詳盡記錄審核委員會成員所考慮之事宜及所達致之決定，包括審核委員會成員所提出之任何疑問或意見分歧。審核委員會會議記錄草擬稿及最終定稿應於舉行會議後的合理時間內送交所有審核委員會成員，供彼等提出意見及保存。</w:t>
      </w:r>
    </w:p>
    <w:p>
      <w:pPr>
        <w:pStyle w:val="13"/>
        <w:tabs>
          <w:tab w:val="left" w:pos="459"/>
          <w:tab w:val="left" w:pos="720"/>
        </w:tabs>
        <w:spacing w:before="90"/>
        <w:ind w:left="720"/>
        <w:rPr>
          <w:rFonts w:ascii="宋体" w:hAnsi="宋体" w:eastAsia="宋体" w:cs="宋体"/>
          <w:color w:val="000000" w:themeColor="text1"/>
          <w:lang w:eastAsia="zh-TW"/>
          <w14:textFill>
            <w14:solidFill>
              <w14:schemeClr w14:val="tx1"/>
            </w14:solidFill>
          </w14:textFill>
        </w:rPr>
      </w:pPr>
    </w:p>
    <w:p>
      <w:pPr>
        <w:pStyle w:val="13"/>
        <w:tabs>
          <w:tab w:val="left" w:pos="720"/>
        </w:tabs>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第二十一條：審核委員會秘書須向董事會全體成員傳閱審核委員會會議記錄及報告。</w:t>
      </w:r>
    </w:p>
    <w:p>
      <w:pPr>
        <w:tabs>
          <w:tab w:val="left" w:pos="346"/>
        </w:tabs>
        <w:ind w:right="158"/>
        <w:rPr>
          <w:rFonts w:ascii="宋体" w:hAnsi="宋体" w:eastAsia="宋体" w:cs="宋体"/>
          <w:color w:val="000000" w:themeColor="text1"/>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出席會議</w:t>
      </w:r>
    </w:p>
    <w:p>
      <w:pPr>
        <w:pStyle w:val="4"/>
        <w:spacing w:before="4"/>
        <w:ind w:left="533" w:right="158"/>
        <w:jc w:val="both"/>
        <w:rPr>
          <w:rFonts w:eastAsia="PMingLiU"/>
          <w:b/>
          <w:color w:val="000000" w:themeColor="text1"/>
          <w:sz w:val="22"/>
          <w:szCs w:val="22"/>
          <w:lang w:eastAsia="zh-TW"/>
          <w14:textFill>
            <w14:solidFill>
              <w14:schemeClr w14:val="tx1"/>
            </w14:solidFill>
          </w14:textFill>
        </w:rPr>
      </w:pPr>
    </w:p>
    <w:p>
      <w:pPr>
        <w:pStyle w:val="4"/>
        <w:spacing w:before="90"/>
        <w:ind w:left="774" w:leftChars="-248" w:right="158" w:hanging="1320" w:hangingChars="600"/>
        <w:jc w:val="both"/>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color w:val="000000" w:themeColor="text1"/>
          <w:sz w:val="22"/>
          <w:szCs w:val="22"/>
          <w:lang w:eastAsia="zh-TW"/>
          <w14:textFill>
            <w14:solidFill>
              <w14:schemeClr w14:val="tx1"/>
            </w14:solidFill>
          </w14:textFill>
        </w:rPr>
        <w:t>第二十二條：本公司財務總監、監事會主席、審計部部長及國內及國際外聘核數師的代表一般須參加審核委員會會議，而董事會其他成員亦有權出席。然而，審核委員會須在董事會執行董事避席的情況下每年與國內及國際外聘核數師會面最少一次。</w:t>
      </w:r>
    </w:p>
    <w:p>
      <w:pPr>
        <w:pStyle w:val="2"/>
        <w:rPr>
          <w:rFonts w:eastAsia="PMingLiU"/>
          <w:color w:val="000000" w:themeColor="text1"/>
          <w:kern w:val="2"/>
          <w:sz w:val="20"/>
          <w:szCs w:val="20"/>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職權</w:t>
      </w:r>
    </w:p>
    <w:p>
      <w:pPr>
        <w:pStyle w:val="4"/>
        <w:spacing w:before="90"/>
        <w:ind w:left="774" w:leftChars="-248" w:right="158" w:hanging="1320" w:hangingChars="600"/>
        <w:jc w:val="both"/>
        <w:rPr>
          <w:rFonts w:ascii="宋体" w:hAnsi="宋体" w:eastAsia="宋体" w:cs="宋体"/>
          <w:color w:val="000000" w:themeColor="text1"/>
          <w:sz w:val="22"/>
          <w:szCs w:val="22"/>
          <w:lang w:eastAsia="zh-TW"/>
          <w14:textFill>
            <w14:solidFill>
              <w14:schemeClr w14:val="tx1"/>
            </w14:solidFill>
          </w14:textFill>
        </w:rPr>
      </w:pPr>
    </w:p>
    <w:p>
      <w:pPr>
        <w:pStyle w:val="4"/>
        <w:spacing w:before="90"/>
        <w:ind w:left="894" w:leftChars="-248" w:hanging="1440"/>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color w:val="000000" w:themeColor="text1"/>
          <w:sz w:val="22"/>
          <w:szCs w:val="22"/>
          <w:lang w:eastAsia="zh-TW"/>
          <w14:textFill>
            <w14:solidFill>
              <w14:schemeClr w14:val="tx1"/>
            </w14:solidFill>
          </w14:textFill>
        </w:rPr>
        <w:t>第二十三條：審核委員會獲董事會授權進行任何其權力範圍內的調查。審核委員會於履行下文載列的職權時，獲授權向審計公司及其附屬公司（如適用）任何僱員索求任何所需資料，所有有關僱員必須應審核委員會的要求與委員會合作。</w:t>
      </w:r>
    </w:p>
    <w:p>
      <w:pPr>
        <w:pStyle w:val="13"/>
        <w:tabs>
          <w:tab w:val="left" w:pos="371"/>
        </w:tabs>
        <w:spacing w:before="1"/>
        <w:ind w:left="533" w:right="158"/>
        <w:rPr>
          <w:rFonts w:ascii="宋体" w:hAnsi="宋体" w:eastAsia="宋体" w:cs="宋体"/>
          <w:color w:val="000000" w:themeColor="text1"/>
          <w:lang w:eastAsia="zh-TW"/>
          <w14:textFill>
            <w14:solidFill>
              <w14:schemeClr w14:val="tx1"/>
            </w14:solidFill>
          </w14:textFill>
        </w:rPr>
      </w:pPr>
    </w:p>
    <w:p>
      <w:pPr>
        <w:pStyle w:val="4"/>
        <w:spacing w:before="5"/>
        <w:ind w:left="533" w:right="158"/>
        <w:jc w:val="both"/>
        <w:rPr>
          <w:rFonts w:ascii="宋体" w:hAnsi="宋体" w:eastAsia="宋体" w:cs="宋体"/>
          <w:b/>
          <w:color w:val="000000" w:themeColor="text1"/>
          <w:sz w:val="22"/>
          <w:szCs w:val="22"/>
          <w:lang w:eastAsia="zh-TW"/>
          <w14:textFill>
            <w14:solidFill>
              <w14:schemeClr w14:val="tx1"/>
            </w14:solidFill>
          </w14:textFill>
        </w:rPr>
      </w:pPr>
    </w:p>
    <w:p>
      <w:pPr>
        <w:pStyle w:val="13"/>
        <w:tabs>
          <w:tab w:val="left" w:pos="720"/>
        </w:tabs>
        <w:spacing w:before="1"/>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四條：審核委員會獲董事會授權，可委任擁有相關經驗及專業知識的法律或其他獨立專業顧問，協助審核委員會履行職權範圍所載職務，費用由本公司承擔。審核委員會如認為需要，可邀請有關專業顧問出席會議。</w:t>
      </w:r>
    </w:p>
    <w:p>
      <w:pPr>
        <w:pStyle w:val="13"/>
        <w:tabs>
          <w:tab w:val="left" w:pos="720"/>
        </w:tabs>
        <w:spacing w:before="1"/>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第二十五條：審核委員會獲授權可於有需要時，要求本公司管理層提供履行其於職權範圍所載職務的所需資源。</w:t>
      </w:r>
    </w:p>
    <w:p>
      <w:pPr>
        <w:pStyle w:val="13"/>
        <w:tabs>
          <w:tab w:val="left" w:pos="720"/>
        </w:tabs>
        <w:ind w:left="720"/>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547"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第二十六條：審核委員會須獲提供充足資源以履行其職責。</w:t>
      </w:r>
    </w:p>
    <w:p>
      <w:pPr>
        <w:pStyle w:val="13"/>
        <w:tabs>
          <w:tab w:val="left" w:pos="720"/>
        </w:tabs>
        <w:spacing w:before="1"/>
        <w:ind w:left="720" w:right="158"/>
        <w:rPr>
          <w:rFonts w:ascii="宋体" w:hAnsi="宋体" w:eastAsia="宋体" w:cs="宋体"/>
          <w:color w:val="000000" w:themeColor="text1"/>
          <w:lang w:eastAsia="zh-TW"/>
          <w14:textFill>
            <w14:solidFill>
              <w14:schemeClr w14:val="tx1"/>
            </w14:solidFill>
          </w14:textFill>
        </w:rPr>
      </w:pPr>
    </w:p>
    <w:p>
      <w:pPr>
        <w:pStyle w:val="13"/>
        <w:tabs>
          <w:tab w:val="left" w:pos="720"/>
        </w:tabs>
        <w:spacing w:before="1"/>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第二十七條：審核委員會獲授權審視任何對財務報告、風險管理及內部監控或其他事宜可能存在不當情況並引起疑慮之安排。</w:t>
      </w:r>
    </w:p>
    <w:p>
      <w:pPr>
        <w:pStyle w:val="2"/>
        <w:rPr>
          <w:rFonts w:eastAsia="PMingLiU"/>
          <w:color w:val="000000" w:themeColor="text1"/>
          <w:sz w:val="22"/>
          <w:szCs w:val="22"/>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責任</w:t>
      </w:r>
    </w:p>
    <w:p>
      <w:pPr>
        <w:pStyle w:val="4"/>
        <w:spacing w:before="3"/>
        <w:ind w:left="533" w:right="158"/>
        <w:jc w:val="both"/>
        <w:rPr>
          <w:rFonts w:eastAsia="PMingLiU"/>
          <w:b/>
          <w:color w:val="000000" w:themeColor="text1"/>
          <w:sz w:val="22"/>
          <w:szCs w:val="22"/>
          <w:lang w:eastAsia="zh-TW"/>
          <w14:textFill>
            <w14:solidFill>
              <w14:schemeClr w14:val="tx1"/>
            </w14:solidFill>
          </w14:textFill>
        </w:rPr>
      </w:pPr>
    </w:p>
    <w:p>
      <w:pPr>
        <w:pStyle w:val="13"/>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八條：審核委員會就有關財務及其他報告、風險管理及內部監控、外部及內部審核（倘本公司設有內部審核職能）以及董事會不時決定的其他事項的職務上，在本公司其他董事、外聘核數師及內部核數師之間擔當重要的溝通橋樑。</w:t>
      </w:r>
    </w:p>
    <w:p>
      <w:pPr>
        <w:pStyle w:val="13"/>
        <w:ind w:left="720" w:right="158"/>
        <w:rPr>
          <w:rFonts w:ascii="宋体" w:hAnsi="宋体" w:eastAsia="宋体" w:cs="宋体"/>
          <w:color w:val="000000" w:themeColor="text1"/>
          <w:lang w:eastAsia="zh-TW"/>
          <w14:textFill>
            <w14:solidFill>
              <w14:schemeClr w14:val="tx1"/>
            </w14:solidFill>
          </w14:textFill>
        </w:rPr>
      </w:pPr>
    </w:p>
    <w:p>
      <w:pPr>
        <w:pStyle w:val="13"/>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第二十九條</w:t>
      </w:r>
      <w:bookmarkStart w:id="1" w:name="OLE_LINK1"/>
      <w:r>
        <w:rPr>
          <w:rFonts w:hint="eastAsia" w:ascii="宋体" w:hAnsi="宋体" w:eastAsia="宋体" w:cs="宋体"/>
          <w:color w:val="000000" w:themeColor="text1"/>
          <w:lang w:eastAsia="zh-TW"/>
          <w14:textFill>
            <w14:solidFill>
              <w14:schemeClr w14:val="tx1"/>
            </w14:solidFill>
          </w14:textFill>
        </w:rPr>
        <w:t>：</w:t>
      </w:r>
      <w:bookmarkEnd w:id="1"/>
      <w:r>
        <w:rPr>
          <w:rFonts w:hint="eastAsia" w:ascii="宋体" w:hAnsi="宋体" w:eastAsia="宋体" w:cs="宋体"/>
          <w:color w:val="000000" w:themeColor="text1"/>
          <w:lang w:eastAsia="zh-TW"/>
          <w14:textFill>
            <w14:solidFill>
              <w14:schemeClr w14:val="tx1"/>
            </w14:solidFill>
          </w14:textFill>
        </w:rPr>
        <w:t>審核委員會負責協助董事會提供獨立審查及監督財務報告及風險管理及讓彼等信納已有效執行本公司內部監控及已獲充分內外部審核。</w:t>
      </w:r>
    </w:p>
    <w:p>
      <w:pPr>
        <w:pStyle w:val="13"/>
        <w:rPr>
          <w:rFonts w:ascii="宋体" w:hAnsi="宋体" w:eastAsia="宋体" w:cs="宋体"/>
          <w:color w:val="000000" w:themeColor="text1"/>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職</w:t>
      </w:r>
      <w:r>
        <w:rPr>
          <w:rFonts w:hint="eastAsia" w:eastAsia="PMingLiU"/>
          <w:color w:val="000000" w:themeColor="text1"/>
          <w:sz w:val="22"/>
          <w:szCs w:val="22"/>
          <w:lang w:eastAsia="zh-TW"/>
          <w14:textFill>
            <w14:solidFill>
              <w14:schemeClr w14:val="tx1"/>
            </w14:solidFill>
          </w14:textFill>
        </w:rPr>
        <w:t>責</w:t>
      </w:r>
      <w:r>
        <w:rPr>
          <w:rFonts w:eastAsia="PMingLiU"/>
          <w:color w:val="000000" w:themeColor="text1"/>
          <w:sz w:val="22"/>
          <w:szCs w:val="22"/>
          <w:lang w:eastAsia="zh-TW"/>
          <w14:textFill>
            <w14:solidFill>
              <w14:schemeClr w14:val="tx1"/>
            </w14:solidFill>
          </w14:textFill>
        </w:rPr>
        <w:t>、權力及職能</w:t>
      </w:r>
    </w:p>
    <w:p>
      <w:pPr>
        <w:pStyle w:val="4"/>
        <w:spacing w:before="3"/>
        <w:ind w:left="533" w:right="158"/>
        <w:jc w:val="both"/>
        <w:rPr>
          <w:rFonts w:eastAsia="PMingLiU"/>
          <w:b/>
          <w:color w:val="000000" w:themeColor="text1"/>
          <w:sz w:val="22"/>
          <w:szCs w:val="22"/>
          <w:lang w:eastAsia="zh-TW"/>
          <w14:textFill>
            <w14:solidFill>
              <w14:schemeClr w14:val="tx1"/>
            </w14:solidFill>
          </w14:textFill>
        </w:rPr>
      </w:pPr>
    </w:p>
    <w:p>
      <w:pPr>
        <w:pStyle w:val="4"/>
        <w:spacing w:before="90"/>
        <w:ind w:left="-547" w:right="158"/>
        <w:jc w:val="both"/>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bCs/>
          <w:color w:val="000000" w:themeColor="text1"/>
          <w:sz w:val="22"/>
          <w:szCs w:val="22"/>
          <w:lang w:eastAsia="zh-TW"/>
          <w14:textFill>
            <w14:solidFill>
              <w14:schemeClr w14:val="tx1"/>
            </w14:solidFill>
          </w14:textFill>
        </w:rPr>
        <w:t>第三十條</w:t>
      </w:r>
      <w:r>
        <w:rPr>
          <w:rFonts w:hint="eastAsia" w:ascii="宋体" w:hAnsi="宋体" w:eastAsia="宋体" w:cs="宋体"/>
          <w:color w:val="000000" w:themeColor="text1"/>
          <w:lang w:eastAsia="zh-TW"/>
          <w14:textFill>
            <w14:solidFill>
              <w14:schemeClr w14:val="tx1"/>
            </w14:solidFill>
          </w14:textFill>
        </w:rPr>
        <w:t>：</w:t>
      </w:r>
      <w:r>
        <w:rPr>
          <w:rFonts w:hint="eastAsia" w:ascii="宋体" w:hAnsi="宋体" w:eastAsia="宋体" w:cs="宋体"/>
          <w:color w:val="000000" w:themeColor="text1"/>
          <w:sz w:val="22"/>
          <w:szCs w:val="22"/>
          <w:lang w:eastAsia="zh-TW"/>
          <w14:textFill>
            <w14:solidFill>
              <w14:schemeClr w14:val="tx1"/>
            </w14:solidFill>
          </w14:textFill>
        </w:rPr>
        <w:t>審核委員會的職責包括下列各項：</w:t>
      </w:r>
    </w:p>
    <w:p>
      <w:pPr>
        <w:pStyle w:val="4"/>
        <w:spacing w:before="90"/>
        <w:ind w:left="990" w:right="158"/>
        <w:jc w:val="both"/>
        <w:rPr>
          <w:rFonts w:ascii="宋体" w:hAnsi="宋体" w:eastAsia="宋体" w:cs="宋体"/>
          <w:i/>
          <w:color w:val="000000" w:themeColor="text1"/>
          <w:sz w:val="22"/>
          <w:szCs w:val="22"/>
          <w:lang w:eastAsia="zh-TW"/>
          <w14:textFill>
            <w14:solidFill>
              <w14:schemeClr w14:val="tx1"/>
            </w14:solidFill>
          </w14:textFill>
        </w:rPr>
      </w:pPr>
    </w:p>
    <w:p>
      <w:pPr>
        <w:pStyle w:val="3"/>
        <w:ind w:left="1260" w:firstLine="0"/>
        <w:rPr>
          <w:rFonts w:ascii="宋体" w:hAnsi="宋体" w:eastAsia="宋体" w:cs="宋体"/>
          <w:color w:val="000000" w:themeColor="text1"/>
          <w:spacing w:val="0"/>
          <w:sz w:val="22"/>
          <w:szCs w:val="22"/>
          <w14:textFill>
            <w14:solidFill>
              <w14:schemeClr w14:val="tx1"/>
            </w14:solidFill>
          </w14:textFill>
        </w:rPr>
      </w:pPr>
      <w:r>
        <w:rPr>
          <w:rFonts w:hint="eastAsia" w:ascii="宋体" w:hAnsi="宋体" w:eastAsia="宋体" w:cs="宋体"/>
          <w:color w:val="000000" w:themeColor="text1"/>
          <w:spacing w:val="0"/>
          <w:sz w:val="22"/>
          <w:szCs w:val="22"/>
          <w:lang w:eastAsia="zh-CN"/>
          <w14:textFill>
            <w14:solidFill>
              <w14:schemeClr w14:val="tx1"/>
            </w14:solidFill>
          </w14:textFill>
        </w:rPr>
        <w:t>財務報告</w:t>
      </w:r>
    </w:p>
    <w:p>
      <w:pPr>
        <w:ind w:left="990"/>
        <w:rPr>
          <w:rFonts w:ascii="宋体" w:hAnsi="宋体" w:eastAsia="宋体" w:cs="宋体"/>
          <w:color w:val="000000" w:themeColor="text1"/>
          <w14:textFill>
            <w14:solidFill>
              <w14:schemeClr w14:val="tx1"/>
            </w14:solidFill>
          </w14:textFill>
        </w:rPr>
      </w:pPr>
    </w:p>
    <w:p>
      <w:pPr>
        <w:pStyle w:val="13"/>
        <w:numPr>
          <w:ilvl w:val="0"/>
          <w:numId w:val="4"/>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審核委員會須監督本公司財務報表、年度報告、賬目及中期報告的完整性、準確性及透明度，審查其中所載之重要財務報告判斷，並審查董事報告中之陳述是否適當。</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4"/>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在將該等報告提交董事會前的審閱中，審核委員會應特別注意：</w:t>
      </w:r>
    </w:p>
    <w:p>
      <w:pPr>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25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會計政策及慣例之一致性及任何變化；</w:t>
      </w:r>
    </w:p>
    <w:p>
      <w:pPr>
        <w:ind w:left="2250"/>
        <w:jc w:val="both"/>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250" w:firstLine="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重大判斷範圍</w:t>
      </w:r>
      <w:r>
        <w:rPr>
          <w:rFonts w:hint="eastAsia" w:ascii="宋体" w:hAnsi="宋体" w:eastAsia="宋体" w:cs="宋体"/>
          <w:color w:val="000000" w:themeColor="text1"/>
          <w:lang w:eastAsia="zh-CN"/>
          <w14:textFill>
            <w14:solidFill>
              <w14:schemeClr w14:val="tx1"/>
            </w14:solidFill>
          </w14:textFill>
        </w:rPr>
        <w:t>；</w:t>
      </w:r>
    </w:p>
    <w:p>
      <w:pPr>
        <w:ind w:left="2250"/>
        <w:jc w:val="both"/>
        <w:rPr>
          <w:rFonts w:ascii="宋体" w:hAnsi="宋体" w:eastAsia="宋体" w:cs="宋体"/>
          <w:color w:val="000000" w:themeColor="text1"/>
          <w14:textFill>
            <w14:solidFill>
              <w14:schemeClr w14:val="tx1"/>
            </w14:solidFill>
          </w14:textFill>
        </w:rPr>
      </w:pPr>
    </w:p>
    <w:p>
      <w:pPr>
        <w:pStyle w:val="13"/>
        <w:numPr>
          <w:ilvl w:val="0"/>
          <w:numId w:val="5"/>
        </w:numPr>
        <w:ind w:left="225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審核產生的重大調整。委員會還應審查並調查需要進行此類調整的問題，及是否需要進一步調整；</w:t>
      </w:r>
    </w:p>
    <w:p>
      <w:pPr>
        <w:jc w:val="both"/>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持續經營的假設及任何保留意見；</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年內非經常性項目的披露，以確保賬目中該類披露屬公平且不會誤導，並且在財務報表中該類非經常性項目獲得適當關注。任何不經常發生的重大項目，例如資產出售或購買、或有負債或訴訟，均可被視為非經常性項目；</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遵守香港及中國公認的會計準則（尤其應關注本公司政策與香港及中國會計慣例原則不一致的範圍及產生任何偏差的原因）；</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遵守上市規則及有關財務報告的法律規定；</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各財務報表之間的一致性；</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財務報表與向稅務機關或其他監管機構提交之財務報表的一致性；及</w:t>
      </w:r>
    </w:p>
    <w:p>
      <w:pPr>
        <w:pStyle w:val="13"/>
        <w:ind w:left="2340"/>
        <w:rPr>
          <w:rFonts w:ascii="宋体" w:hAnsi="宋体" w:eastAsia="宋体" w:cs="宋体"/>
          <w:color w:val="000000" w:themeColor="text1"/>
          <w:lang w:eastAsia="zh-TW"/>
          <w14:textFill>
            <w14:solidFill>
              <w14:schemeClr w14:val="tx1"/>
            </w14:solidFill>
          </w14:textFill>
        </w:rPr>
      </w:pPr>
    </w:p>
    <w:p>
      <w:pPr>
        <w:pStyle w:val="13"/>
        <w:numPr>
          <w:ilvl w:val="0"/>
          <w:numId w:val="5"/>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董事報告及董事長致辭是否真實反映本公司業績，且該業績與各項報告中所反映之情況是否一致。</w:t>
      </w:r>
    </w:p>
    <w:p>
      <w:pPr>
        <w:jc w:val="both"/>
        <w:rPr>
          <w:rFonts w:ascii="宋体" w:hAnsi="宋体" w:eastAsia="宋体" w:cs="宋体"/>
          <w:color w:val="000000" w:themeColor="text1"/>
          <w:lang w:eastAsia="zh-TW"/>
          <w14:textFill>
            <w14:solidFill>
              <w14:schemeClr w14:val="tx1"/>
            </w14:solidFill>
          </w14:textFill>
        </w:rPr>
      </w:pPr>
    </w:p>
    <w:p>
      <w:pPr>
        <w:ind w:left="1080"/>
        <w:jc w:val="both"/>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(b) 就上述項(a)而言：</w:t>
      </w:r>
    </w:p>
    <w:p>
      <w:pPr>
        <w:ind w:left="990"/>
        <w:jc w:val="both"/>
        <w:rPr>
          <w:rFonts w:ascii="宋体" w:hAnsi="宋体" w:eastAsia="宋体" w:cs="宋体"/>
          <w:color w:val="000000" w:themeColor="text1"/>
          <w:lang w:eastAsia="zh-TW"/>
          <w14:textFill>
            <w14:solidFill>
              <w14:schemeClr w14:val="tx1"/>
            </w14:solidFill>
          </w14:textFill>
        </w:rPr>
      </w:pPr>
    </w:p>
    <w:p>
      <w:pPr>
        <w:pStyle w:val="13"/>
        <w:numPr>
          <w:ilvl w:val="0"/>
          <w:numId w:val="6"/>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審核委員會成員必須與董事會及高級管理層聯絡，且審核委員會必須至少每年與本公司核數師開會兩次；及</w:t>
      </w:r>
    </w:p>
    <w:p>
      <w:pPr>
        <w:pStyle w:val="13"/>
        <w:ind w:left="234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 xml:space="preserve"> </w:t>
      </w:r>
    </w:p>
    <w:p>
      <w:pPr>
        <w:pStyle w:val="13"/>
        <w:numPr>
          <w:ilvl w:val="0"/>
          <w:numId w:val="6"/>
        </w:numPr>
        <w:ind w:left="234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審核委員會應考慮於該等報告及賬目中所反映或可能需要反映的任何重大或不尋常事項，並應適當考慮由負責會計及財務報告職能的本公司員工、合規主任或核數師所提出的任何事項；</w:t>
      </w:r>
    </w:p>
    <w:p>
      <w:pPr>
        <w:pStyle w:val="13"/>
        <w:rPr>
          <w:rFonts w:ascii="宋体" w:hAnsi="宋体" w:eastAsia="宋体" w:cs="宋体"/>
          <w:color w:val="000000" w:themeColor="text1"/>
          <w:lang w:eastAsia="zh-TW"/>
          <w14:textFill>
            <w14:solidFill>
              <w14:schemeClr w14:val="tx1"/>
            </w14:solidFill>
          </w14:textFill>
        </w:rPr>
      </w:pPr>
    </w:p>
    <w:p>
      <w:pPr>
        <w:pStyle w:val="3"/>
        <w:ind w:left="1260" w:firstLine="0"/>
        <w:rPr>
          <w:rFonts w:ascii="宋体" w:hAnsi="宋体" w:eastAsia="宋体" w:cs="宋体"/>
          <w:color w:val="000000" w:themeColor="text1"/>
          <w:spacing w:val="0"/>
          <w:sz w:val="22"/>
          <w:szCs w:val="22"/>
          <w:lang w:eastAsia="zh-TW"/>
          <w14:textFill>
            <w14:solidFill>
              <w14:schemeClr w14:val="tx1"/>
            </w14:solidFill>
          </w14:textFill>
        </w:rPr>
      </w:pPr>
      <w:r>
        <w:rPr>
          <w:rFonts w:hint="eastAsia" w:ascii="宋体" w:hAnsi="宋体" w:eastAsia="宋体" w:cs="宋体"/>
          <w:color w:val="000000" w:themeColor="text1"/>
          <w:spacing w:val="0"/>
          <w:sz w:val="22"/>
          <w:szCs w:val="22"/>
          <w:lang w:eastAsia="zh-TW"/>
          <w14:textFill>
            <w14:solidFill>
              <w14:schemeClr w14:val="tx1"/>
            </w14:solidFill>
          </w14:textFill>
        </w:rPr>
        <w:t>監察本公司財務報告系統、風險管理及內部監控系統</w:t>
      </w:r>
    </w:p>
    <w:p>
      <w:pPr>
        <w:rPr>
          <w:rFonts w:ascii="宋体" w:hAnsi="宋体" w:eastAsia="宋体" w:cs="宋体"/>
          <w:color w:val="000000" w:themeColor="text1"/>
          <w:lang w:eastAsia="zh-TW"/>
          <w14:textFill>
            <w14:solidFill>
              <w14:schemeClr w14:val="tx1"/>
            </w14:solidFill>
          </w14:textFill>
        </w:rPr>
      </w:pPr>
    </w:p>
    <w:p>
      <w:pPr>
        <w:ind w:left="54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w:t>
      </w:r>
      <w:r>
        <w:rPr>
          <w:rFonts w:hint="eastAsia" w:ascii="宋体" w:hAnsi="宋体" w:eastAsia="宋体" w:cs="宋体"/>
          <w:color w:val="000000" w:themeColor="text1"/>
          <w:lang w:eastAsia="zh-CN"/>
          <w14:textFill>
            <w14:solidFill>
              <w14:schemeClr w14:val="tx1"/>
            </w14:solidFill>
          </w14:textFill>
        </w:rPr>
        <w:t>委員會須：</w:t>
      </w:r>
    </w:p>
    <w:p>
      <w:pPr>
        <w:rPr>
          <w:rFonts w:ascii="宋体" w:hAnsi="宋体" w:eastAsia="宋体" w:cs="宋体"/>
          <w:color w:val="000000" w:themeColor="text1"/>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檢討本公司之財務監控，且除非該職責已由另一董事會之風險委員會或董事會本身負責，檢討本公司風險管理及內部監控系統；</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經董事會批准前，審閱陳述書的草擬稿；</w:t>
      </w:r>
    </w:p>
    <w:p>
      <w:pPr>
        <w:ind w:firstLine="1760" w:firstLineChars="800"/>
        <w:jc w:val="both"/>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與管理層討論風險管理及內部監控系統，以確保管理層已履行其職責建立有效系統。此討論應包括本公司會計及財務報告職能的人力資源、員工資歷及經驗、培訓課程及預算是否充足；</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主動或應董事會的委派，就有關風險管理及內部監控事宜的主要調查結果及管理層對調查結果的回應進行研究；</w:t>
      </w:r>
    </w:p>
    <w:p>
      <w:pPr>
        <w:ind w:left="1800"/>
        <w:jc w:val="both"/>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倘本公司設有內部審核職能，確保內部及外聘核數師之間的協調，確保內部審核職能有足夠資源運作，且在本公司內部受到適當重視，並檢討及監督其成效；</w:t>
      </w:r>
    </w:p>
    <w:p>
      <w:pPr>
        <w:ind w:left="1800"/>
        <w:jc w:val="both"/>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檢討本公司的財務及會計政策及慣例，考慮其是否合適；</w:t>
      </w:r>
    </w:p>
    <w:p>
      <w:pPr>
        <w:ind w:left="1800"/>
        <w:jc w:val="both"/>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審閱國際及國內外聘核數師致管理層函件，以及核數師就會計記錄、財務賬目或監控制度向管理層提出的任何重大問題，當中包括管理層的回應；</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確保董事會及時回應外聘核數師在致管理層函件中提出的問題；</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7"/>
        </w:numPr>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知會董事會在履行上述職務過程中的重大發展；</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7"/>
        </w:numPr>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主動或應董事會的委派，對風險管理及內部監控事宜作出的主要調查結果及本公司管理層對有關發現任何懷疑不誠實行為或不合規情況、內部監控缺失或涉嫌違反法律、規則及規例的情況的回應進行研究；</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7"/>
        </w:numPr>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建議董事會有關審核委員會職務的任何適當擴展或改變；</w:t>
      </w:r>
    </w:p>
    <w:p>
      <w:pPr>
        <w:pStyle w:val="13"/>
        <w:ind w:left="171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討論中期及年終審核產生的問題及保留意見，以及核數師希望討論的任何事項（必要時管理層應迴避）；</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檢討本公司僱員以保密方式就財務報告、內部監控或其他事宜可能存在不當情況提出疑問的安排。審核委員會須確保已作出適當安排，以公平及獨立地調查該等事項及作適當跟進行動；</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在董事會批准前審閱本公司關於內部監控系統之聲明（其中一份已併入年度報告）；</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就上述事項向董事會報告；及</w:t>
      </w:r>
    </w:p>
    <w:p>
      <w:pPr>
        <w:pStyle w:val="13"/>
        <w:ind w:left="1800"/>
        <w:rPr>
          <w:rFonts w:ascii="宋体" w:hAnsi="宋体" w:eastAsia="宋体" w:cs="宋体"/>
          <w:color w:val="000000" w:themeColor="text1"/>
          <w:lang w:eastAsia="zh-TW"/>
          <w14:textFill>
            <w14:solidFill>
              <w14:schemeClr w14:val="tx1"/>
            </w14:solidFill>
          </w14:textFill>
        </w:rPr>
      </w:pPr>
    </w:p>
    <w:p>
      <w:pPr>
        <w:pStyle w:val="13"/>
        <w:numPr>
          <w:ilvl w:val="0"/>
          <w:numId w:val="7"/>
        </w:numPr>
        <w:ind w:left="1800"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應董事會不時的委派，考慮並執行其他事項。</w:t>
      </w:r>
    </w:p>
    <w:p>
      <w:pPr>
        <w:ind w:left="1530"/>
        <w:jc w:val="both"/>
        <w:rPr>
          <w:rFonts w:ascii="宋体" w:hAnsi="宋体" w:eastAsia="宋体" w:cs="宋体"/>
          <w:color w:val="000000" w:themeColor="text1"/>
          <w:lang w:eastAsia="zh-TW"/>
          <w14:textFill>
            <w14:solidFill>
              <w14:schemeClr w14:val="tx1"/>
            </w14:solidFill>
          </w14:textFill>
        </w:rPr>
      </w:pPr>
    </w:p>
    <w:p>
      <w:pPr>
        <w:pStyle w:val="3"/>
        <w:ind w:left="1260" w:firstLine="0"/>
        <w:rPr>
          <w:rFonts w:ascii="宋体" w:hAnsi="宋体" w:eastAsia="宋体" w:cs="宋体"/>
          <w:color w:val="000000" w:themeColor="text1"/>
          <w:spacing w:val="0"/>
          <w:sz w:val="22"/>
          <w:szCs w:val="22"/>
          <w14:textFill>
            <w14:solidFill>
              <w14:schemeClr w14:val="tx1"/>
            </w14:solidFill>
          </w14:textFill>
        </w:rPr>
      </w:pPr>
      <w:r>
        <w:rPr>
          <w:rFonts w:hint="eastAsia" w:ascii="宋体" w:hAnsi="宋体" w:eastAsia="宋体" w:cs="宋体"/>
          <w:color w:val="000000" w:themeColor="text1"/>
          <w:spacing w:val="0"/>
          <w:sz w:val="22"/>
          <w:szCs w:val="22"/>
          <w:lang w:eastAsia="zh-CN"/>
          <w14:textFill>
            <w14:solidFill>
              <w14:schemeClr w14:val="tx1"/>
            </w14:solidFill>
          </w14:textFill>
        </w:rPr>
        <w:t>與</w:t>
      </w:r>
      <w:r>
        <w:rPr>
          <w:rFonts w:hint="eastAsia" w:ascii="宋体" w:hAnsi="宋体" w:eastAsia="宋体" w:cs="宋体"/>
          <w:color w:val="000000" w:themeColor="text1"/>
          <w:spacing w:val="0"/>
          <w:sz w:val="22"/>
          <w:szCs w:val="22"/>
          <w:lang w:eastAsia="zh-TW"/>
          <w14:textFill>
            <w14:solidFill>
              <w14:schemeClr w14:val="tx1"/>
            </w14:solidFill>
          </w14:textFill>
        </w:rPr>
        <w:t>本</w:t>
      </w:r>
      <w:r>
        <w:rPr>
          <w:rFonts w:hint="eastAsia" w:ascii="宋体" w:hAnsi="宋体" w:eastAsia="宋体" w:cs="宋体"/>
          <w:color w:val="000000" w:themeColor="text1"/>
          <w:spacing w:val="0"/>
          <w:sz w:val="22"/>
          <w:szCs w:val="22"/>
          <w:lang w:eastAsia="zh-CN"/>
          <w14:textFill>
            <w14:solidFill>
              <w14:schemeClr w14:val="tx1"/>
            </w14:solidFill>
          </w14:textFill>
        </w:rPr>
        <w:t>公司核數師之關係</w:t>
      </w:r>
    </w:p>
    <w:p>
      <w:pPr>
        <w:rPr>
          <w:rFonts w:ascii="宋体" w:hAnsi="宋体" w:eastAsia="宋体" w:cs="宋体"/>
          <w:color w:val="000000" w:themeColor="text1"/>
          <w14:textFill>
            <w14:solidFill>
              <w14:schemeClr w14:val="tx1"/>
            </w14:solidFill>
          </w14:textFill>
        </w:rPr>
      </w:pPr>
    </w:p>
    <w:p>
      <w:pPr>
        <w:ind w:left="126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審核委員會須作為主要代表機構，監督發行人與外聘核數師的關係。 審核委員會須：</w:t>
      </w:r>
    </w:p>
    <w:p>
      <w:pPr>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主要負責就外聘核數師（國際及國內核數師）的任命、續任及罷免向董事會提出建議，並批准外聘核數師的薪酬及聘用條款，以及任何有關其辭任或解僱的問題；</w:t>
      </w:r>
    </w:p>
    <w:p>
      <w:pPr>
        <w:pStyle w:val="13"/>
        <w:tabs>
          <w:tab w:val="left" w:pos="440"/>
        </w:tabs>
        <w:ind w:left="1800" w:right="121"/>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與本公司管理層、外聘核數師和內部核數師（倘本公司設有內部審核職能）檢討本公司有關內部監控的政策及系統（包括財務、營運及合規監控）、風險管理系統以及董事在董事會批准前於年度賬目內作出的的任何聲明是否充分；</w:t>
      </w:r>
    </w:p>
    <w:p>
      <w:pPr>
        <w:pStyle w:val="13"/>
        <w:tabs>
          <w:tab w:val="left" w:pos="440"/>
        </w:tabs>
        <w:ind w:left="1800" w:right="121"/>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根據適用標準審視並監督外聘核數師的獨立性、客觀性、審核過程的有效性。在審核開始前，審核委員會應與國際及國內核數師審視審核的性質、範圍，及申報責任，以確保核數師各自工作的協同完成；審核委員會應了解外聘核數師在決定審核範圍時所考慮的因素。外部審核費用須由本公司管理層商議，並每年提交審核委員會審閱及批核；</w:t>
      </w:r>
    </w:p>
    <w:p>
      <w:pPr>
        <w:pStyle w:val="13"/>
        <w:tabs>
          <w:tab w:val="left" w:pos="440"/>
        </w:tabs>
        <w:ind w:left="1800" w:right="121"/>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就委聘外聘核數師提供非核數服務制定並執行政策。就此而言，外聘核數師包括與核數公司處於同一控制權、所有權或管理權的任何實體，或倘某實體當中有一名合理知情且知悉所有有關資料的第三方，則在合理情況下會斷定該實體屬於該核數公司本土或國際業務的一部分。審核委員會應識別任何須採取行動或改善的事項，向董事會報告並提出建議；</w:t>
      </w:r>
    </w:p>
    <w:p>
      <w:pPr>
        <w:tabs>
          <w:tab w:val="left" w:pos="440"/>
        </w:tabs>
        <w:ind w:right="121"/>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每年向外聘核數師索取相關資料，以了解其保持獨立性及監察符合相關規定的政策及程序，包括非核數服務及關於核數師合夥人和員工輪流退任的規定；及</w:t>
      </w:r>
    </w:p>
    <w:p>
      <w:pPr>
        <w:pStyle w:val="13"/>
        <w:rPr>
          <w:rFonts w:ascii="宋体" w:hAnsi="宋体" w:eastAsia="宋体" w:cs="宋体"/>
          <w:color w:val="000000" w:themeColor="text1"/>
          <w:lang w:eastAsia="zh-TW"/>
          <w14:textFill>
            <w14:solidFill>
              <w14:schemeClr w14:val="tx1"/>
            </w14:solidFill>
          </w14:textFill>
        </w:rPr>
      </w:pPr>
    </w:p>
    <w:p>
      <w:pPr>
        <w:pStyle w:val="13"/>
        <w:numPr>
          <w:ilvl w:val="0"/>
          <w:numId w:val="8"/>
        </w:numPr>
        <w:tabs>
          <w:tab w:val="left" w:pos="440"/>
        </w:tabs>
        <w:ind w:left="1800" w:right="121"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評估外聘核數師所獲得的配合，包括彼等能否獲得所要求的所有記錄、數據及資料；取得本公司管理層關於外聘核數師對本公司需求回應的意見；諮詢外聘核數師是否與本公司管理層有任何意見分歧，而此分歧若不能圓滿解決將會導致外聘核數師對本公司的財務報表作出保留意見；</w:t>
      </w:r>
    </w:p>
    <w:p>
      <w:pPr>
        <w:pStyle w:val="13"/>
        <w:tabs>
          <w:tab w:val="left" w:pos="440"/>
        </w:tabs>
        <w:ind w:left="1800" w:right="121"/>
        <w:rPr>
          <w:rFonts w:ascii="宋体" w:hAnsi="宋体" w:eastAsia="宋体" w:cs="宋体"/>
          <w:color w:val="000000" w:themeColor="text1"/>
          <w:lang w:eastAsia="zh-TW"/>
          <w14:textFill>
            <w14:solidFill>
              <w14:schemeClr w14:val="tx1"/>
            </w14:solidFill>
          </w14:textFill>
        </w:rPr>
      </w:pPr>
    </w:p>
    <w:p>
      <w:pPr>
        <w:pStyle w:val="2"/>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color w:val="000000" w:themeColor="text1"/>
          <w:sz w:val="22"/>
          <w:szCs w:val="22"/>
          <w:lang w:eastAsia="zh-TW"/>
          <w14:textFill>
            <w14:solidFill>
              <w14:schemeClr w14:val="tx1"/>
            </w14:solidFill>
          </w14:textFill>
        </w:rPr>
        <w:t>申報</w:t>
      </w:r>
    </w:p>
    <w:p>
      <w:pPr>
        <w:pStyle w:val="2"/>
        <w:rPr>
          <w:rFonts w:ascii="宋体" w:hAnsi="宋体" w:eastAsia="宋体" w:cs="宋体"/>
          <w:color w:val="000000" w:themeColor="text1"/>
          <w:sz w:val="22"/>
          <w:szCs w:val="22"/>
          <w:lang w:eastAsia="zh-TW"/>
          <w14:textFill>
            <w14:solidFill>
              <w14:schemeClr w14:val="tx1"/>
            </w14:solidFill>
          </w14:textFill>
        </w:rPr>
      </w:pPr>
    </w:p>
    <w:p>
      <w:pPr>
        <w:tabs>
          <w:tab w:val="left" w:pos="720"/>
        </w:tabs>
        <w:ind w:left="1100"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第三十一條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審核委員會須每年至少兩次直接向董事會報告，並每年至少一次向董事會提交其工作報告。</w:t>
      </w:r>
    </w:p>
    <w:p>
      <w:pPr>
        <w:tabs>
          <w:tab w:val="left" w:pos="720"/>
        </w:tabs>
        <w:ind w:right="158"/>
        <w:rPr>
          <w:rFonts w:ascii="宋体" w:hAnsi="宋体" w:eastAsia="宋体" w:cs="宋体"/>
          <w:color w:val="000000" w:themeColor="text1"/>
          <w:lang w:eastAsia="zh-TW"/>
          <w14:textFill>
            <w14:solidFill>
              <w14:schemeClr w14:val="tx1"/>
            </w14:solidFill>
          </w14:textFill>
        </w:rPr>
      </w:pPr>
    </w:p>
    <w:p>
      <w:pPr>
        <w:tabs>
          <w:tab w:val="left" w:pos="720"/>
        </w:tabs>
        <w:ind w:left="1100" w:right="158" w:hanging="1100" w:hangingChars="5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第三十二條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如果董事會不同意審核委員會關於選擇、任命、辭職或解僱外聘核數師的意見，則本公司應在公司治理報告中加入審核委員會的聲明，以闡述其建議及董事會對此持不同意見的原因。</w:t>
      </w:r>
    </w:p>
    <w:p>
      <w:pPr>
        <w:tabs>
          <w:tab w:val="left" w:pos="720"/>
        </w:tabs>
        <w:ind w:right="158"/>
        <w:rPr>
          <w:rFonts w:ascii="宋体" w:hAnsi="宋体" w:eastAsia="宋体" w:cs="宋体"/>
          <w:color w:val="000000" w:themeColor="text1"/>
          <w:lang w:eastAsia="zh-TW"/>
          <w14:textFill>
            <w14:solidFill>
              <w14:schemeClr w14:val="tx1"/>
            </w14:solidFill>
          </w14:textFill>
        </w:rPr>
      </w:pPr>
    </w:p>
    <w:p>
      <w:pPr>
        <w:tabs>
          <w:tab w:val="left" w:pos="720"/>
        </w:tabs>
        <w:ind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第三十三條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審核委員會的召集人應出席本公司年度股東大會，回答股東對審核委員會活動的疑問。</w:t>
      </w:r>
    </w:p>
    <w:p>
      <w:pPr>
        <w:rPr>
          <w:rFonts w:eastAsia="PMingLiU"/>
          <w:color w:val="000000" w:themeColor="text1"/>
          <w:lang w:eastAsia="zh-TW"/>
          <w14:textFill>
            <w14:solidFill>
              <w14:schemeClr w14:val="tx1"/>
            </w14:solidFill>
          </w14:textFill>
        </w:rPr>
      </w:pPr>
    </w:p>
    <w:p>
      <w:pPr>
        <w:pStyle w:val="2"/>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本職權範圍的刊登</w:t>
      </w:r>
    </w:p>
    <w:p>
      <w:pPr>
        <w:tabs>
          <w:tab w:val="left" w:pos="720"/>
        </w:tabs>
        <w:spacing w:before="90"/>
        <w:ind w:right="158"/>
        <w:rPr>
          <w:rFonts w:eastAsia="PMingLiU"/>
          <w:b/>
          <w:bCs/>
          <w:color w:val="000000" w:themeColor="text1"/>
          <w:lang w:eastAsia="zh-TW"/>
          <w14:textFill>
            <w14:solidFill>
              <w14:schemeClr w14:val="tx1"/>
            </w14:solidFill>
          </w14:textFill>
        </w:rPr>
      </w:pPr>
    </w:p>
    <w:p>
      <w:pPr>
        <w:tabs>
          <w:tab w:val="left" w:pos="720"/>
        </w:tabs>
        <w:spacing w:before="90"/>
        <w:ind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第三十四條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本審核委員會職權範圍將刊登於本公司及香港聯合交易所有限公司</w:t>
      </w:r>
      <w:r>
        <w:rPr>
          <w:rFonts w:hint="eastAsia" w:ascii="宋体" w:hAnsi="宋体" w:eastAsia="宋体" w:cs="宋体"/>
          <w:color w:val="000000" w:themeColor="text1"/>
          <w:lang w:eastAsia="zh-CN"/>
          <w14:textFill>
            <w14:solidFill>
              <w14:schemeClr w14:val="tx1"/>
            </w14:solidFill>
          </w14:textFill>
        </w:rPr>
        <w:t>等</w:t>
      </w:r>
      <w:r>
        <w:rPr>
          <w:rFonts w:hint="eastAsia" w:ascii="宋体" w:hAnsi="宋体" w:eastAsia="宋体" w:cs="宋体"/>
          <w:color w:val="000000" w:themeColor="text1"/>
          <w:lang w:eastAsia="zh-TW"/>
          <w14:textFill>
            <w14:solidFill>
              <w14:schemeClr w14:val="tx1"/>
            </w14:solidFill>
          </w14:textFill>
        </w:rPr>
        <w:t>網站。</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968573"/>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81F"/>
    <w:multiLevelType w:val="multilevel"/>
    <w:tmpl w:val="07E4781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3D46485"/>
    <w:multiLevelType w:val="multilevel"/>
    <w:tmpl w:val="13D46485"/>
    <w:lvl w:ilvl="0" w:tentative="0">
      <w:start w:val="1"/>
      <w:numFmt w:val="lowerLetter"/>
      <w:lvlText w:val="(%1)"/>
      <w:lvlJc w:val="left"/>
      <w:pPr>
        <w:ind w:left="893" w:hanging="360"/>
      </w:pPr>
      <w:rPr>
        <w:rFonts w:hint="default"/>
      </w:rPr>
    </w:lvl>
    <w:lvl w:ilvl="1" w:tentative="0">
      <w:start w:val="1"/>
      <w:numFmt w:val="lowerLetter"/>
      <w:lvlText w:val="%2."/>
      <w:lvlJc w:val="left"/>
      <w:pPr>
        <w:ind w:left="1613" w:hanging="360"/>
      </w:pPr>
    </w:lvl>
    <w:lvl w:ilvl="2" w:tentative="0">
      <w:start w:val="1"/>
      <w:numFmt w:val="lowerRoman"/>
      <w:lvlText w:val="%3."/>
      <w:lvlJc w:val="right"/>
      <w:pPr>
        <w:ind w:left="2333" w:hanging="180"/>
      </w:pPr>
    </w:lvl>
    <w:lvl w:ilvl="3" w:tentative="0">
      <w:start w:val="1"/>
      <w:numFmt w:val="decimal"/>
      <w:lvlText w:val="%4."/>
      <w:lvlJc w:val="left"/>
      <w:pPr>
        <w:ind w:left="3053" w:hanging="360"/>
      </w:pPr>
    </w:lvl>
    <w:lvl w:ilvl="4" w:tentative="0">
      <w:start w:val="1"/>
      <w:numFmt w:val="lowerLetter"/>
      <w:lvlText w:val="%5."/>
      <w:lvlJc w:val="left"/>
      <w:pPr>
        <w:ind w:left="3773" w:hanging="360"/>
      </w:pPr>
    </w:lvl>
    <w:lvl w:ilvl="5" w:tentative="0">
      <w:start w:val="1"/>
      <w:numFmt w:val="lowerRoman"/>
      <w:lvlText w:val="%6."/>
      <w:lvlJc w:val="right"/>
      <w:pPr>
        <w:ind w:left="4493" w:hanging="180"/>
      </w:pPr>
    </w:lvl>
    <w:lvl w:ilvl="6" w:tentative="0">
      <w:start w:val="1"/>
      <w:numFmt w:val="decimal"/>
      <w:lvlText w:val="%7."/>
      <w:lvlJc w:val="left"/>
      <w:pPr>
        <w:ind w:left="5213" w:hanging="360"/>
      </w:pPr>
    </w:lvl>
    <w:lvl w:ilvl="7" w:tentative="0">
      <w:start w:val="1"/>
      <w:numFmt w:val="lowerLetter"/>
      <w:lvlText w:val="%8."/>
      <w:lvlJc w:val="left"/>
      <w:pPr>
        <w:ind w:left="5933" w:hanging="360"/>
      </w:pPr>
    </w:lvl>
    <w:lvl w:ilvl="8" w:tentative="0">
      <w:start w:val="1"/>
      <w:numFmt w:val="lowerRoman"/>
      <w:lvlText w:val="%9."/>
      <w:lvlJc w:val="right"/>
      <w:pPr>
        <w:ind w:left="6653" w:hanging="180"/>
      </w:pPr>
    </w:lvl>
  </w:abstractNum>
  <w:abstractNum w:abstractNumId="2">
    <w:nsid w:val="1E857E16"/>
    <w:multiLevelType w:val="multilevel"/>
    <w:tmpl w:val="1E857E16"/>
    <w:lvl w:ilvl="0" w:tentative="0">
      <w:start w:val="1"/>
      <w:numFmt w:val="lowerRoman"/>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3">
    <w:nsid w:val="2D361ECA"/>
    <w:multiLevelType w:val="multilevel"/>
    <w:tmpl w:val="2D361ECA"/>
    <w:lvl w:ilvl="0" w:tentative="0">
      <w:start w:val="1"/>
      <w:numFmt w:val="lowerLetter"/>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4">
    <w:nsid w:val="357A4377"/>
    <w:multiLevelType w:val="multilevel"/>
    <w:tmpl w:val="357A437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548954ED"/>
    <w:multiLevelType w:val="multilevel"/>
    <w:tmpl w:val="548954ED"/>
    <w:lvl w:ilvl="0" w:tentative="0">
      <w:start w:val="1"/>
      <w:numFmt w:val="lowerLetter"/>
      <w:lvlText w:val="(%1)"/>
      <w:lvlJc w:val="left"/>
      <w:pPr>
        <w:ind w:left="990" w:hanging="360"/>
      </w:pPr>
      <w:rPr>
        <w:rFonts w:hint="default"/>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6">
    <w:nsid w:val="5A036631"/>
    <w:multiLevelType w:val="multilevel"/>
    <w:tmpl w:val="5A036631"/>
    <w:lvl w:ilvl="0" w:tentative="0">
      <w:start w:val="1"/>
      <w:numFmt w:val="lowerRoman"/>
      <w:lvlText w:val="(%1)"/>
      <w:lvlJc w:val="left"/>
      <w:pPr>
        <w:ind w:left="1710" w:hanging="720"/>
      </w:pPr>
      <w:rPr>
        <w:rFonts w:hint="default"/>
      </w:rPr>
    </w:lvl>
    <w:lvl w:ilvl="1" w:tentative="0">
      <w:start w:val="1"/>
      <w:numFmt w:val="lowerLetter"/>
      <w:lvlText w:val="%2."/>
      <w:lvlJc w:val="left"/>
      <w:pPr>
        <w:ind w:left="2070" w:hanging="360"/>
      </w:pPr>
    </w:lvl>
    <w:lvl w:ilvl="2" w:tentative="0">
      <w:start w:val="1"/>
      <w:numFmt w:val="lowerRoman"/>
      <w:lvlText w:val="%3."/>
      <w:lvlJc w:val="right"/>
      <w:pPr>
        <w:ind w:left="2790" w:hanging="180"/>
      </w:pPr>
    </w:lvl>
    <w:lvl w:ilvl="3" w:tentative="0">
      <w:start w:val="1"/>
      <w:numFmt w:val="decimal"/>
      <w:lvlText w:val="%4."/>
      <w:lvlJc w:val="left"/>
      <w:pPr>
        <w:ind w:left="3510" w:hanging="360"/>
      </w:p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7">
    <w:nsid w:val="6F032656"/>
    <w:multiLevelType w:val="multilevel"/>
    <w:tmpl w:val="6F032656"/>
    <w:lvl w:ilvl="0" w:tentative="0">
      <w:start w:val="1"/>
      <w:numFmt w:val="upperRoman"/>
      <w:pStyle w:val="3"/>
      <w:lvlText w:val="%1."/>
      <w:lvlJc w:val="right"/>
      <w:pPr>
        <w:ind w:left="1336" w:hanging="360"/>
      </w:pPr>
    </w:lvl>
    <w:lvl w:ilvl="1" w:tentative="0">
      <w:start w:val="1"/>
      <w:numFmt w:val="lowerLetter"/>
      <w:lvlText w:val="%2."/>
      <w:lvlJc w:val="left"/>
      <w:pPr>
        <w:ind w:left="2056" w:hanging="360"/>
      </w:pPr>
    </w:lvl>
    <w:lvl w:ilvl="2" w:tentative="0">
      <w:start w:val="1"/>
      <w:numFmt w:val="lowerRoman"/>
      <w:lvlText w:val="%3."/>
      <w:lvlJc w:val="right"/>
      <w:pPr>
        <w:ind w:left="2776" w:hanging="180"/>
      </w:pPr>
    </w:lvl>
    <w:lvl w:ilvl="3" w:tentative="0">
      <w:start w:val="1"/>
      <w:numFmt w:val="decimal"/>
      <w:lvlText w:val="%4."/>
      <w:lvlJc w:val="left"/>
      <w:pPr>
        <w:ind w:left="3496" w:hanging="360"/>
      </w:pPr>
    </w:lvl>
    <w:lvl w:ilvl="4" w:tentative="0">
      <w:start w:val="1"/>
      <w:numFmt w:val="lowerLetter"/>
      <w:lvlText w:val="%5."/>
      <w:lvlJc w:val="left"/>
      <w:pPr>
        <w:ind w:left="4216" w:hanging="360"/>
      </w:pPr>
    </w:lvl>
    <w:lvl w:ilvl="5" w:tentative="0">
      <w:start w:val="1"/>
      <w:numFmt w:val="lowerRoman"/>
      <w:lvlText w:val="%6."/>
      <w:lvlJc w:val="right"/>
      <w:pPr>
        <w:ind w:left="4936" w:hanging="180"/>
      </w:pPr>
    </w:lvl>
    <w:lvl w:ilvl="6" w:tentative="0">
      <w:start w:val="1"/>
      <w:numFmt w:val="decimal"/>
      <w:lvlText w:val="%7."/>
      <w:lvlJc w:val="left"/>
      <w:pPr>
        <w:ind w:left="5656" w:hanging="360"/>
      </w:pPr>
    </w:lvl>
    <w:lvl w:ilvl="7" w:tentative="0">
      <w:start w:val="1"/>
      <w:numFmt w:val="lowerLetter"/>
      <w:lvlText w:val="%8."/>
      <w:lvlJc w:val="left"/>
      <w:pPr>
        <w:ind w:left="6376" w:hanging="360"/>
      </w:pPr>
    </w:lvl>
    <w:lvl w:ilvl="8" w:tentative="0">
      <w:start w:val="1"/>
      <w:numFmt w:val="lowerRoman"/>
      <w:lvlText w:val="%9."/>
      <w:lvlJc w:val="right"/>
      <w:pPr>
        <w:ind w:left="7096" w:hanging="18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A8"/>
    <w:rsid w:val="00007BD1"/>
    <w:rsid w:val="0002393E"/>
    <w:rsid w:val="000322C1"/>
    <w:rsid w:val="00044782"/>
    <w:rsid w:val="00044F34"/>
    <w:rsid w:val="00045A2D"/>
    <w:rsid w:val="00053A56"/>
    <w:rsid w:val="00081551"/>
    <w:rsid w:val="00094255"/>
    <w:rsid w:val="000A2E0B"/>
    <w:rsid w:val="000A39BB"/>
    <w:rsid w:val="000B3C01"/>
    <w:rsid w:val="000C44A8"/>
    <w:rsid w:val="000D2EDE"/>
    <w:rsid w:val="000E20A9"/>
    <w:rsid w:val="000F012A"/>
    <w:rsid w:val="000F123E"/>
    <w:rsid w:val="0010026D"/>
    <w:rsid w:val="00101568"/>
    <w:rsid w:val="00102D9A"/>
    <w:rsid w:val="00107117"/>
    <w:rsid w:val="00113B77"/>
    <w:rsid w:val="00116977"/>
    <w:rsid w:val="00120B73"/>
    <w:rsid w:val="00121A55"/>
    <w:rsid w:val="0012245C"/>
    <w:rsid w:val="00122D13"/>
    <w:rsid w:val="00125311"/>
    <w:rsid w:val="00136582"/>
    <w:rsid w:val="00153A0F"/>
    <w:rsid w:val="0017145F"/>
    <w:rsid w:val="00172CC6"/>
    <w:rsid w:val="00181B06"/>
    <w:rsid w:val="00191D79"/>
    <w:rsid w:val="001A36C1"/>
    <w:rsid w:val="001D3F39"/>
    <w:rsid w:val="001E18BD"/>
    <w:rsid w:val="001F0E5F"/>
    <w:rsid w:val="001F66E9"/>
    <w:rsid w:val="00205A81"/>
    <w:rsid w:val="00211395"/>
    <w:rsid w:val="00217E80"/>
    <w:rsid w:val="002342C4"/>
    <w:rsid w:val="00247688"/>
    <w:rsid w:val="0025087F"/>
    <w:rsid w:val="002549C2"/>
    <w:rsid w:val="002675FF"/>
    <w:rsid w:val="00267B91"/>
    <w:rsid w:val="002738EE"/>
    <w:rsid w:val="0027416A"/>
    <w:rsid w:val="00294033"/>
    <w:rsid w:val="00294CB0"/>
    <w:rsid w:val="00295FA0"/>
    <w:rsid w:val="002A6C0D"/>
    <w:rsid w:val="002B5B95"/>
    <w:rsid w:val="002C1D33"/>
    <w:rsid w:val="002C40B8"/>
    <w:rsid w:val="002C566A"/>
    <w:rsid w:val="002C753E"/>
    <w:rsid w:val="002D01E4"/>
    <w:rsid w:val="002D449D"/>
    <w:rsid w:val="002D4C9A"/>
    <w:rsid w:val="002D78B7"/>
    <w:rsid w:val="002E2EF9"/>
    <w:rsid w:val="002E3168"/>
    <w:rsid w:val="002F3416"/>
    <w:rsid w:val="002F5F7F"/>
    <w:rsid w:val="002F7BA7"/>
    <w:rsid w:val="003028B6"/>
    <w:rsid w:val="003154EB"/>
    <w:rsid w:val="003213DA"/>
    <w:rsid w:val="0032584A"/>
    <w:rsid w:val="00331FF5"/>
    <w:rsid w:val="003350D3"/>
    <w:rsid w:val="00335E88"/>
    <w:rsid w:val="00340FA9"/>
    <w:rsid w:val="0034448B"/>
    <w:rsid w:val="0035097A"/>
    <w:rsid w:val="00350F22"/>
    <w:rsid w:val="00361D63"/>
    <w:rsid w:val="0038112E"/>
    <w:rsid w:val="003A05B6"/>
    <w:rsid w:val="003A4FB8"/>
    <w:rsid w:val="003D4659"/>
    <w:rsid w:val="003D77B6"/>
    <w:rsid w:val="003E1C5D"/>
    <w:rsid w:val="003F4DE7"/>
    <w:rsid w:val="00411167"/>
    <w:rsid w:val="0041643B"/>
    <w:rsid w:val="004376B0"/>
    <w:rsid w:val="00443649"/>
    <w:rsid w:val="004464C5"/>
    <w:rsid w:val="00452C56"/>
    <w:rsid w:val="0045746F"/>
    <w:rsid w:val="00460E5A"/>
    <w:rsid w:val="004740DA"/>
    <w:rsid w:val="00476E13"/>
    <w:rsid w:val="00484CC9"/>
    <w:rsid w:val="004875B0"/>
    <w:rsid w:val="00487D93"/>
    <w:rsid w:val="004910AD"/>
    <w:rsid w:val="004A31C2"/>
    <w:rsid w:val="004B0537"/>
    <w:rsid w:val="004B1045"/>
    <w:rsid w:val="004B1CC0"/>
    <w:rsid w:val="004C00CF"/>
    <w:rsid w:val="004D350C"/>
    <w:rsid w:val="004D4ACD"/>
    <w:rsid w:val="004D6A17"/>
    <w:rsid w:val="004E6390"/>
    <w:rsid w:val="004F5EED"/>
    <w:rsid w:val="004F6CCE"/>
    <w:rsid w:val="005008C9"/>
    <w:rsid w:val="00503659"/>
    <w:rsid w:val="005057D7"/>
    <w:rsid w:val="00510F91"/>
    <w:rsid w:val="00522107"/>
    <w:rsid w:val="00524CF2"/>
    <w:rsid w:val="005256B2"/>
    <w:rsid w:val="0052720A"/>
    <w:rsid w:val="00530BEA"/>
    <w:rsid w:val="005371E8"/>
    <w:rsid w:val="005430A1"/>
    <w:rsid w:val="0055733D"/>
    <w:rsid w:val="00562828"/>
    <w:rsid w:val="00565A65"/>
    <w:rsid w:val="005723EC"/>
    <w:rsid w:val="00577DB5"/>
    <w:rsid w:val="0058343F"/>
    <w:rsid w:val="00587AA4"/>
    <w:rsid w:val="00591C00"/>
    <w:rsid w:val="005924F1"/>
    <w:rsid w:val="005A362D"/>
    <w:rsid w:val="005B059B"/>
    <w:rsid w:val="005E3A5C"/>
    <w:rsid w:val="005F629E"/>
    <w:rsid w:val="0061205E"/>
    <w:rsid w:val="00613F5F"/>
    <w:rsid w:val="00614935"/>
    <w:rsid w:val="00631C87"/>
    <w:rsid w:val="00642737"/>
    <w:rsid w:val="00643068"/>
    <w:rsid w:val="006469D4"/>
    <w:rsid w:val="006557BA"/>
    <w:rsid w:val="006652C4"/>
    <w:rsid w:val="00670DD3"/>
    <w:rsid w:val="00671619"/>
    <w:rsid w:val="0067734B"/>
    <w:rsid w:val="00677835"/>
    <w:rsid w:val="00686F35"/>
    <w:rsid w:val="0068787B"/>
    <w:rsid w:val="00692D67"/>
    <w:rsid w:val="00693816"/>
    <w:rsid w:val="00694326"/>
    <w:rsid w:val="006949DC"/>
    <w:rsid w:val="00696F34"/>
    <w:rsid w:val="006A1C43"/>
    <w:rsid w:val="006A383E"/>
    <w:rsid w:val="006A48A3"/>
    <w:rsid w:val="006A7246"/>
    <w:rsid w:val="006B6D68"/>
    <w:rsid w:val="006B6E22"/>
    <w:rsid w:val="006C0E6B"/>
    <w:rsid w:val="006C32C7"/>
    <w:rsid w:val="006C3A5C"/>
    <w:rsid w:val="006D35EE"/>
    <w:rsid w:val="006D695E"/>
    <w:rsid w:val="006F0028"/>
    <w:rsid w:val="006F0D04"/>
    <w:rsid w:val="006F17B8"/>
    <w:rsid w:val="007061D1"/>
    <w:rsid w:val="00707819"/>
    <w:rsid w:val="00722E25"/>
    <w:rsid w:val="0073754C"/>
    <w:rsid w:val="00744097"/>
    <w:rsid w:val="0074543F"/>
    <w:rsid w:val="007459A1"/>
    <w:rsid w:val="007477A7"/>
    <w:rsid w:val="00781EA7"/>
    <w:rsid w:val="00790603"/>
    <w:rsid w:val="007975E5"/>
    <w:rsid w:val="007A493A"/>
    <w:rsid w:val="007A49F0"/>
    <w:rsid w:val="007A713B"/>
    <w:rsid w:val="007C26E2"/>
    <w:rsid w:val="007D0AEB"/>
    <w:rsid w:val="007D3394"/>
    <w:rsid w:val="007D58C6"/>
    <w:rsid w:val="007D5C27"/>
    <w:rsid w:val="007D71B2"/>
    <w:rsid w:val="007F21B7"/>
    <w:rsid w:val="007F614E"/>
    <w:rsid w:val="00810359"/>
    <w:rsid w:val="00811945"/>
    <w:rsid w:val="0082022C"/>
    <w:rsid w:val="00822244"/>
    <w:rsid w:val="008316B4"/>
    <w:rsid w:val="00844101"/>
    <w:rsid w:val="00845466"/>
    <w:rsid w:val="008479B4"/>
    <w:rsid w:val="008552DF"/>
    <w:rsid w:val="00857605"/>
    <w:rsid w:val="008636D7"/>
    <w:rsid w:val="00867D3F"/>
    <w:rsid w:val="00870384"/>
    <w:rsid w:val="00872C0D"/>
    <w:rsid w:val="00876694"/>
    <w:rsid w:val="00883F8C"/>
    <w:rsid w:val="00892D7C"/>
    <w:rsid w:val="008B4629"/>
    <w:rsid w:val="008C08E7"/>
    <w:rsid w:val="008D027D"/>
    <w:rsid w:val="008D7843"/>
    <w:rsid w:val="008E1C21"/>
    <w:rsid w:val="008F0F21"/>
    <w:rsid w:val="008F1C32"/>
    <w:rsid w:val="00902AC3"/>
    <w:rsid w:val="00913952"/>
    <w:rsid w:val="00920027"/>
    <w:rsid w:val="00926135"/>
    <w:rsid w:val="009433FF"/>
    <w:rsid w:val="0095208A"/>
    <w:rsid w:val="0095624A"/>
    <w:rsid w:val="00990A98"/>
    <w:rsid w:val="009B3CA5"/>
    <w:rsid w:val="009C286B"/>
    <w:rsid w:val="009D00DF"/>
    <w:rsid w:val="009D332A"/>
    <w:rsid w:val="009D4865"/>
    <w:rsid w:val="009D7E7C"/>
    <w:rsid w:val="009F163E"/>
    <w:rsid w:val="00A0504A"/>
    <w:rsid w:val="00A156AB"/>
    <w:rsid w:val="00A172B9"/>
    <w:rsid w:val="00A24541"/>
    <w:rsid w:val="00A41F9A"/>
    <w:rsid w:val="00A603AA"/>
    <w:rsid w:val="00A6099F"/>
    <w:rsid w:val="00A72493"/>
    <w:rsid w:val="00A85C74"/>
    <w:rsid w:val="00A87D49"/>
    <w:rsid w:val="00A91117"/>
    <w:rsid w:val="00A9149A"/>
    <w:rsid w:val="00A93AF0"/>
    <w:rsid w:val="00AA2D4E"/>
    <w:rsid w:val="00AA4D22"/>
    <w:rsid w:val="00AE3699"/>
    <w:rsid w:val="00AF54D7"/>
    <w:rsid w:val="00B3013B"/>
    <w:rsid w:val="00B35ABD"/>
    <w:rsid w:val="00B360AB"/>
    <w:rsid w:val="00B44EE6"/>
    <w:rsid w:val="00B50D2B"/>
    <w:rsid w:val="00B616B6"/>
    <w:rsid w:val="00B64934"/>
    <w:rsid w:val="00B72D7B"/>
    <w:rsid w:val="00B93B51"/>
    <w:rsid w:val="00BA432E"/>
    <w:rsid w:val="00BA62FF"/>
    <w:rsid w:val="00BC1D63"/>
    <w:rsid w:val="00BC39A1"/>
    <w:rsid w:val="00BC751D"/>
    <w:rsid w:val="00BD1025"/>
    <w:rsid w:val="00BE1310"/>
    <w:rsid w:val="00BE1FA7"/>
    <w:rsid w:val="00BE524F"/>
    <w:rsid w:val="00BF41E4"/>
    <w:rsid w:val="00BF69BC"/>
    <w:rsid w:val="00C06529"/>
    <w:rsid w:val="00C11D7D"/>
    <w:rsid w:val="00C1436E"/>
    <w:rsid w:val="00C20AE2"/>
    <w:rsid w:val="00C24B70"/>
    <w:rsid w:val="00C34DB6"/>
    <w:rsid w:val="00C41A99"/>
    <w:rsid w:val="00C42B09"/>
    <w:rsid w:val="00C5237B"/>
    <w:rsid w:val="00C6567C"/>
    <w:rsid w:val="00C73F88"/>
    <w:rsid w:val="00C92CC9"/>
    <w:rsid w:val="00C956D5"/>
    <w:rsid w:val="00CA08E9"/>
    <w:rsid w:val="00CA65D0"/>
    <w:rsid w:val="00CB042F"/>
    <w:rsid w:val="00CB22DC"/>
    <w:rsid w:val="00CB5797"/>
    <w:rsid w:val="00CC42DF"/>
    <w:rsid w:val="00CD2467"/>
    <w:rsid w:val="00CD3CA7"/>
    <w:rsid w:val="00CF2C63"/>
    <w:rsid w:val="00CF6D06"/>
    <w:rsid w:val="00D0734D"/>
    <w:rsid w:val="00D11CDB"/>
    <w:rsid w:val="00D173E2"/>
    <w:rsid w:val="00D22504"/>
    <w:rsid w:val="00D26599"/>
    <w:rsid w:val="00D40670"/>
    <w:rsid w:val="00D40EE4"/>
    <w:rsid w:val="00D5038A"/>
    <w:rsid w:val="00D57CFA"/>
    <w:rsid w:val="00D76783"/>
    <w:rsid w:val="00D83E8A"/>
    <w:rsid w:val="00DB15D6"/>
    <w:rsid w:val="00DB2792"/>
    <w:rsid w:val="00DB792B"/>
    <w:rsid w:val="00DC04D9"/>
    <w:rsid w:val="00DC3AD4"/>
    <w:rsid w:val="00DC6BB3"/>
    <w:rsid w:val="00DE1D14"/>
    <w:rsid w:val="00DE3A24"/>
    <w:rsid w:val="00DE4A24"/>
    <w:rsid w:val="00DF460D"/>
    <w:rsid w:val="00E05E38"/>
    <w:rsid w:val="00E11542"/>
    <w:rsid w:val="00E1418F"/>
    <w:rsid w:val="00E259B3"/>
    <w:rsid w:val="00E32D03"/>
    <w:rsid w:val="00E378BE"/>
    <w:rsid w:val="00E55F68"/>
    <w:rsid w:val="00E717B1"/>
    <w:rsid w:val="00E92957"/>
    <w:rsid w:val="00E97D7A"/>
    <w:rsid w:val="00ED0615"/>
    <w:rsid w:val="00ED58C7"/>
    <w:rsid w:val="00EE12A8"/>
    <w:rsid w:val="00EE1947"/>
    <w:rsid w:val="00EE42CF"/>
    <w:rsid w:val="00EE5C0A"/>
    <w:rsid w:val="00F11D15"/>
    <w:rsid w:val="00F14D95"/>
    <w:rsid w:val="00F1563C"/>
    <w:rsid w:val="00F16574"/>
    <w:rsid w:val="00F65663"/>
    <w:rsid w:val="00F75BCF"/>
    <w:rsid w:val="00F8203A"/>
    <w:rsid w:val="00F852DF"/>
    <w:rsid w:val="00F978C9"/>
    <w:rsid w:val="00FB7DC6"/>
    <w:rsid w:val="00FC6F17"/>
    <w:rsid w:val="00FD5216"/>
    <w:rsid w:val="00FE54C7"/>
    <w:rsid w:val="02DE75E3"/>
    <w:rsid w:val="0EDA0B5E"/>
    <w:rsid w:val="240C4AD2"/>
    <w:rsid w:val="29437934"/>
    <w:rsid w:val="2C8C4B51"/>
    <w:rsid w:val="2CBB59D8"/>
    <w:rsid w:val="304A32E9"/>
    <w:rsid w:val="3CA42AE7"/>
    <w:rsid w:val="3D0F1D93"/>
    <w:rsid w:val="5B352F98"/>
    <w:rsid w:val="7F1619D5"/>
    <w:rsid w:val="7FE0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en-US"/>
    </w:rPr>
  </w:style>
  <w:style w:type="paragraph" w:styleId="2">
    <w:name w:val="heading 1"/>
    <w:basedOn w:val="1"/>
    <w:next w:val="1"/>
    <w:link w:val="11"/>
    <w:qFormat/>
    <w:uiPriority w:val="1"/>
    <w:pPr>
      <w:spacing w:before="113"/>
      <w:jc w:val="center"/>
      <w:outlineLvl w:val="0"/>
    </w:pPr>
    <w:rPr>
      <w:b/>
      <w:bCs/>
      <w:sz w:val="24"/>
      <w:szCs w:val="24"/>
    </w:rPr>
  </w:style>
  <w:style w:type="paragraph" w:styleId="3">
    <w:name w:val="heading 2"/>
    <w:basedOn w:val="4"/>
    <w:next w:val="1"/>
    <w:link w:val="15"/>
    <w:unhideWhenUsed/>
    <w:qFormat/>
    <w:uiPriority w:val="9"/>
    <w:pPr>
      <w:numPr>
        <w:ilvl w:val="0"/>
        <w:numId w:val="1"/>
      </w:numPr>
      <w:spacing w:before="90"/>
      <w:ind w:right="158"/>
      <w:jc w:val="both"/>
      <w:outlineLvl w:val="1"/>
    </w:pPr>
    <w:rPr>
      <w:i/>
      <w:spacing w:val="-7"/>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2"/>
    <w:qFormat/>
    <w:uiPriority w:val="1"/>
    <w:rPr>
      <w:sz w:val="24"/>
      <w:szCs w:val="24"/>
    </w:rPr>
  </w:style>
  <w:style w:type="paragraph" w:styleId="5">
    <w:name w:val="Balloon Text"/>
    <w:basedOn w:val="1"/>
    <w:link w:val="14"/>
    <w:unhideWhenUsed/>
    <w:qFormat/>
    <w:uiPriority w:val="99"/>
    <w:rPr>
      <w:rFonts w:ascii="Segoe UI" w:hAnsi="Segoe UI" w:cs="Segoe UI"/>
      <w:sz w:val="18"/>
      <w:szCs w:val="18"/>
    </w:rPr>
  </w:style>
  <w:style w:type="paragraph" w:styleId="6">
    <w:name w:val="footer"/>
    <w:basedOn w:val="1"/>
    <w:link w:val="17"/>
    <w:unhideWhenUsed/>
    <w:qFormat/>
    <w:uiPriority w:val="99"/>
    <w:pPr>
      <w:tabs>
        <w:tab w:val="center" w:pos="4680"/>
        <w:tab w:val="right" w:pos="9360"/>
      </w:tabs>
    </w:pPr>
  </w:style>
  <w:style w:type="paragraph" w:styleId="7">
    <w:name w:val="header"/>
    <w:basedOn w:val="1"/>
    <w:link w:val="16"/>
    <w:unhideWhenUsed/>
    <w:qFormat/>
    <w:uiPriority w:val="99"/>
    <w:pPr>
      <w:tabs>
        <w:tab w:val="center" w:pos="4680"/>
        <w:tab w:val="right" w:pos="9360"/>
      </w:tabs>
    </w:pPr>
  </w:style>
  <w:style w:type="paragraph" w:styleId="8">
    <w:name w:val="Normal (Web)"/>
    <w:basedOn w:val="1"/>
    <w:unhideWhenUsed/>
    <w:qFormat/>
    <w:uiPriority w:val="99"/>
    <w:pPr>
      <w:widowControl/>
      <w:autoSpaceDE/>
      <w:autoSpaceDN/>
      <w:spacing w:before="100" w:beforeAutospacing="1" w:after="100" w:afterAutospacing="1" w:line="259" w:lineRule="auto"/>
    </w:pPr>
    <w:rPr>
      <w:sz w:val="24"/>
      <w:szCs w:val="24"/>
      <w:lang w:val="zh-CN" w:eastAsia="zh-TW" w:bidi="ar-SA"/>
    </w:rPr>
  </w:style>
  <w:style w:type="character" w:customStyle="1" w:styleId="11">
    <w:name w:val="Heading 1 Char"/>
    <w:basedOn w:val="9"/>
    <w:link w:val="2"/>
    <w:qFormat/>
    <w:uiPriority w:val="1"/>
    <w:rPr>
      <w:rFonts w:ascii="Times New Roman" w:hAnsi="Times New Roman" w:eastAsia="Times New Roman" w:cs="Times New Roman"/>
      <w:b/>
      <w:bCs/>
      <w:sz w:val="24"/>
      <w:szCs w:val="24"/>
      <w:lang w:eastAsia="en-US" w:bidi="en-US"/>
    </w:rPr>
  </w:style>
  <w:style w:type="character" w:customStyle="1" w:styleId="12">
    <w:name w:val="Body Text Char"/>
    <w:basedOn w:val="9"/>
    <w:link w:val="4"/>
    <w:qFormat/>
    <w:uiPriority w:val="1"/>
    <w:rPr>
      <w:rFonts w:ascii="Times New Roman" w:hAnsi="Times New Roman" w:eastAsia="Times New Roman" w:cs="Times New Roman"/>
      <w:sz w:val="24"/>
      <w:szCs w:val="24"/>
      <w:lang w:eastAsia="en-US" w:bidi="en-US"/>
    </w:rPr>
  </w:style>
  <w:style w:type="paragraph" w:customStyle="1" w:styleId="13">
    <w:name w:val="List Paragraph1"/>
    <w:basedOn w:val="1"/>
    <w:qFormat/>
    <w:uiPriority w:val="1"/>
    <w:pPr>
      <w:ind w:left="126"/>
      <w:jc w:val="both"/>
    </w:pPr>
  </w:style>
  <w:style w:type="character" w:customStyle="1" w:styleId="14">
    <w:name w:val="Balloon Text Char"/>
    <w:basedOn w:val="9"/>
    <w:link w:val="5"/>
    <w:semiHidden/>
    <w:qFormat/>
    <w:uiPriority w:val="99"/>
    <w:rPr>
      <w:rFonts w:ascii="Segoe UI" w:hAnsi="Segoe UI" w:eastAsia="Times New Roman" w:cs="Segoe UI"/>
      <w:sz w:val="18"/>
      <w:szCs w:val="18"/>
      <w:lang w:eastAsia="en-US" w:bidi="en-US"/>
    </w:rPr>
  </w:style>
  <w:style w:type="character" w:customStyle="1" w:styleId="15">
    <w:name w:val="Heading 2 Char"/>
    <w:basedOn w:val="9"/>
    <w:link w:val="3"/>
    <w:qFormat/>
    <w:uiPriority w:val="9"/>
    <w:rPr>
      <w:rFonts w:ascii="Times New Roman" w:hAnsi="Times New Roman" w:eastAsia="Times New Roman" w:cs="Times New Roman"/>
      <w:i/>
      <w:spacing w:val="-7"/>
      <w:sz w:val="24"/>
      <w:szCs w:val="24"/>
      <w:lang w:eastAsia="en-US" w:bidi="en-US"/>
    </w:rPr>
  </w:style>
  <w:style w:type="character" w:customStyle="1" w:styleId="16">
    <w:name w:val="Header Char"/>
    <w:basedOn w:val="9"/>
    <w:link w:val="7"/>
    <w:qFormat/>
    <w:uiPriority w:val="99"/>
    <w:rPr>
      <w:rFonts w:ascii="Times New Roman" w:hAnsi="Times New Roman" w:eastAsia="Times New Roman" w:cs="Times New Roman"/>
      <w:lang w:eastAsia="en-US" w:bidi="en-US"/>
    </w:rPr>
  </w:style>
  <w:style w:type="character" w:customStyle="1" w:styleId="17">
    <w:name w:val="Footer Char"/>
    <w:basedOn w:val="9"/>
    <w:link w:val="6"/>
    <w:qFormat/>
    <w:uiPriority w:val="99"/>
    <w:rPr>
      <w:rFonts w:ascii="Times New Roman" w:hAnsi="Times New Roman" w:eastAsia="Times New Roman" w:cs="Times New Roman"/>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1C17B-90A9-4B74-8C5C-4CB9AEB83752}">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7</Pages>
  <Words>753</Words>
  <Characters>4295</Characters>
  <Lines>35</Lines>
  <Paragraphs>10</Paragraphs>
  <ScaleCrop>false</ScaleCrop>
  <LinksUpToDate>false</LinksUpToDate>
  <CharactersWithSpaces>5038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2020-08-18T04:08:00Z</dcterms:created>
  <dc:creator>Charltons</dc:creator>
  <cp:lastModifiedBy>田建华</cp:lastModifiedBy>
  <cp:lastPrinted>2019-04-24T10:02:00Z</cp:lastPrinted>
  <dcterms:modified xsi:type="dcterms:W3CDTF">2020-08-19T09:24:13Z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