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B15" w:rsidRDefault="0066513B">
      <w:pPr>
        <w:pStyle w:val="PlainText"/>
        <w:snapToGrid w:val="0"/>
        <w:jc w:val="both"/>
        <w:rPr>
          <w:rFonts w:ascii="Times New Roman" w:eastAsia="DFKai-SB" w:hAnsi="Times New Roman"/>
          <w:i/>
          <w:szCs w:val="24"/>
        </w:rPr>
      </w:pPr>
      <w:r>
        <w:rPr>
          <w:rFonts w:ascii="Times New Roman" w:eastAsia="DFKai-SB" w:hAnsi="Times New Roman"/>
          <w:i/>
          <w:szCs w:val="24"/>
        </w:rPr>
        <w:t>香港交易及結算所有限公司及香港聯合交易所有限公司對本公告之內容概不負責，對其準確性或完整性亦不發表任何聲明，並明確表示概不就因本公告全部或任何部分內容而產生或因倚賴該等內容而引致之任何損失承擔任何責任。</w:t>
      </w:r>
    </w:p>
    <w:p w:rsidR="00043B15" w:rsidRDefault="00043B15">
      <w:pPr>
        <w:pStyle w:val="PlainText"/>
        <w:snapToGrid w:val="0"/>
        <w:jc w:val="both"/>
        <w:rPr>
          <w:rFonts w:ascii="Times New Roman" w:eastAsia="DFKai-SB" w:hAnsi="Times New Roman"/>
          <w:i/>
          <w:szCs w:val="24"/>
        </w:rPr>
      </w:pPr>
    </w:p>
    <w:p w:rsidR="00043B15" w:rsidRDefault="0066513B">
      <w:pPr>
        <w:pStyle w:val="PlainText"/>
        <w:snapToGrid w:val="0"/>
        <w:jc w:val="both"/>
        <w:rPr>
          <w:rFonts w:ascii="Times New Roman" w:eastAsia="DFKai-SB" w:hAnsi="Times New Roman"/>
          <w:szCs w:val="24"/>
        </w:rPr>
      </w:pPr>
      <w:r>
        <w:rPr>
          <w:rFonts w:ascii="Times New Roman" w:eastAsia="DFKai-SB" w:hAnsi="Times New Roman"/>
          <w:i/>
          <w:iCs/>
          <w:noProof/>
          <w:szCs w:val="24"/>
          <w:lang w:eastAsia="zh-CN"/>
        </w:rPr>
        <w:drawing>
          <wp:anchor distT="0" distB="0" distL="114300" distR="114300" simplePos="0" relativeHeight="251658240" behindDoc="0" locked="0" layoutInCell="1" allowOverlap="1">
            <wp:simplePos x="0" y="0"/>
            <wp:positionH relativeFrom="column">
              <wp:posOffset>2583815</wp:posOffset>
            </wp:positionH>
            <wp:positionV relativeFrom="paragraph">
              <wp:posOffset>32385</wp:posOffset>
            </wp:positionV>
            <wp:extent cx="533400" cy="57721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533400" cy="577215"/>
                    </a:xfrm>
                    <a:prstGeom prst="rect">
                      <a:avLst/>
                    </a:prstGeom>
                    <a:noFill/>
                    <a:ln>
                      <a:noFill/>
                    </a:ln>
                  </pic:spPr>
                </pic:pic>
              </a:graphicData>
            </a:graphic>
          </wp:anchor>
        </w:drawing>
      </w:r>
    </w:p>
    <w:p w:rsidR="00043B15" w:rsidRDefault="0066513B">
      <w:pPr>
        <w:pStyle w:val="PlainText"/>
        <w:snapToGrid w:val="0"/>
        <w:spacing w:line="240" w:lineRule="atLeast"/>
        <w:jc w:val="center"/>
        <w:rPr>
          <w:rFonts w:ascii="Times New Roman" w:eastAsia="DFKai-SB" w:hAnsi="Times New Roman"/>
          <w:szCs w:val="24"/>
        </w:rPr>
      </w:pPr>
      <w:r>
        <w:rPr>
          <w:rFonts w:ascii="Times New Roman" w:eastAsia="DFKai-SB" w:hAnsi="Times New Roman"/>
          <w:szCs w:val="24"/>
        </w:rPr>
        <w:tab/>
      </w:r>
    </w:p>
    <w:p w:rsidR="00043B15" w:rsidRDefault="00043B15">
      <w:pPr>
        <w:pStyle w:val="PlainText"/>
        <w:snapToGrid w:val="0"/>
        <w:spacing w:line="240" w:lineRule="atLeast"/>
        <w:jc w:val="center"/>
        <w:rPr>
          <w:rFonts w:ascii="Times New Roman" w:eastAsia="DFKai-SB" w:hAnsi="Times New Roman"/>
          <w:szCs w:val="24"/>
        </w:rPr>
      </w:pPr>
    </w:p>
    <w:p w:rsidR="00043B15" w:rsidRDefault="00043B15">
      <w:pPr>
        <w:pStyle w:val="PlainText"/>
        <w:snapToGrid w:val="0"/>
        <w:spacing w:line="240" w:lineRule="atLeast"/>
        <w:jc w:val="center"/>
        <w:rPr>
          <w:rFonts w:ascii="Times New Roman" w:eastAsia="DFKai-SB" w:hAnsi="Times New Roman"/>
          <w:i/>
          <w:iCs/>
          <w:szCs w:val="24"/>
        </w:rPr>
      </w:pPr>
      <w:bookmarkStart w:id="0" w:name="_GoBack"/>
      <w:bookmarkEnd w:id="0"/>
    </w:p>
    <w:p w:rsidR="00043B15" w:rsidRDefault="00043B15">
      <w:pPr>
        <w:pStyle w:val="PlainText"/>
        <w:snapToGrid w:val="0"/>
        <w:spacing w:line="240" w:lineRule="atLeast"/>
        <w:jc w:val="center"/>
        <w:rPr>
          <w:rFonts w:ascii="Times New Roman" w:eastAsia="DFKai-SB" w:hAnsi="Times New Roman"/>
          <w:b/>
          <w:bCs/>
          <w:szCs w:val="24"/>
        </w:rPr>
      </w:pPr>
    </w:p>
    <w:p w:rsidR="00043B15" w:rsidRDefault="0066513B">
      <w:pPr>
        <w:pStyle w:val="PlainText"/>
        <w:snapToGrid w:val="0"/>
        <w:spacing w:line="240" w:lineRule="atLeast"/>
        <w:jc w:val="center"/>
        <w:rPr>
          <w:rFonts w:ascii="Times New Roman" w:eastAsia="DFKai-SB" w:hAnsi="Times New Roman"/>
          <w:b/>
          <w:szCs w:val="24"/>
        </w:rPr>
      </w:pPr>
      <w:r>
        <w:rPr>
          <w:rFonts w:ascii="Times New Roman" w:eastAsia="DFKai-SB" w:hAnsi="Times New Roman"/>
          <w:b/>
          <w:bCs/>
          <w:szCs w:val="24"/>
        </w:rPr>
        <w:t>山東新華製藥股份有限公司</w:t>
      </w:r>
    </w:p>
    <w:p w:rsidR="00043B15" w:rsidRDefault="0066513B">
      <w:pPr>
        <w:pStyle w:val="a"/>
        <w:widowControl w:val="0"/>
        <w:tabs>
          <w:tab w:val="left" w:pos="709"/>
          <w:tab w:val="left" w:pos="1418"/>
          <w:tab w:val="left" w:pos="2126"/>
          <w:tab w:val="left" w:pos="2835"/>
          <w:tab w:val="left" w:pos="3544"/>
          <w:tab w:val="left" w:pos="4253"/>
        </w:tabs>
        <w:kinsoku w:val="0"/>
        <w:adjustRightInd w:val="0"/>
        <w:snapToGrid w:val="0"/>
        <w:spacing w:line="240" w:lineRule="atLeast"/>
        <w:rPr>
          <w:rFonts w:eastAsia="DFKai-SB"/>
          <w:kern w:val="2"/>
          <w:sz w:val="24"/>
          <w:szCs w:val="24"/>
        </w:rPr>
      </w:pPr>
      <w:r>
        <w:rPr>
          <w:rFonts w:eastAsia="DFKai-SB"/>
          <w:kern w:val="2"/>
          <w:sz w:val="24"/>
          <w:szCs w:val="24"/>
        </w:rPr>
        <w:t>Shandong Xinhua Pharmaceutical Company Limited</w:t>
      </w:r>
    </w:p>
    <w:p w:rsidR="00043B15" w:rsidRDefault="0066513B">
      <w:pPr>
        <w:pStyle w:val="PlainText"/>
        <w:snapToGrid w:val="0"/>
        <w:spacing w:before="80"/>
        <w:jc w:val="center"/>
        <w:rPr>
          <w:rFonts w:ascii="Times New Roman" w:eastAsia="DFKai-SB" w:hAnsi="Times New Roman"/>
          <w:i/>
          <w:szCs w:val="24"/>
        </w:rPr>
      </w:pPr>
      <w:r>
        <w:rPr>
          <w:rFonts w:ascii="Times New Roman" w:eastAsia="DFKai-SB" w:hAnsi="Times New Roman"/>
          <w:b/>
          <w:bCs/>
          <w:szCs w:val="24"/>
        </w:rPr>
        <w:t xml:space="preserve"> </w:t>
      </w:r>
      <w:r>
        <w:rPr>
          <w:rFonts w:ascii="Times New Roman" w:eastAsia="DFKai-SB" w:hAnsi="Times New Roman"/>
          <w:i/>
          <w:szCs w:val="24"/>
        </w:rPr>
        <w:t>（於中華人民共和國註冊成立之股份有限公司）</w:t>
      </w:r>
    </w:p>
    <w:p w:rsidR="00043B15" w:rsidRDefault="0066513B">
      <w:pPr>
        <w:jc w:val="center"/>
        <w:rPr>
          <w:rFonts w:eastAsia="DFKai-SB"/>
          <w:b/>
          <w:bCs/>
        </w:rPr>
      </w:pPr>
      <w:proofErr w:type="gramStart"/>
      <w:r>
        <w:rPr>
          <w:rFonts w:eastAsia="DFKai-SB"/>
          <w:b/>
          <w:bCs/>
        </w:rPr>
        <w:t>（</w:t>
      </w:r>
      <w:proofErr w:type="gramEnd"/>
      <w:r>
        <w:rPr>
          <w:rFonts w:eastAsia="DFKai-SB"/>
          <w:b/>
          <w:bCs/>
        </w:rPr>
        <w:t>股份代號：</w:t>
      </w:r>
      <w:r>
        <w:rPr>
          <w:rFonts w:eastAsia="DFKai-SB"/>
          <w:b/>
          <w:bCs/>
        </w:rPr>
        <w:t>00719</w:t>
      </w:r>
      <w:r>
        <w:rPr>
          <w:rFonts w:eastAsia="DFKai-SB"/>
          <w:b/>
          <w:bCs/>
        </w:rPr>
        <w:t>）</w:t>
      </w:r>
    </w:p>
    <w:p w:rsidR="00043B15" w:rsidRDefault="0066513B">
      <w:pPr>
        <w:rPr>
          <w:rFonts w:eastAsia="DFKai-SB"/>
        </w:rPr>
      </w:pPr>
      <w:r>
        <w:rPr>
          <w:rFonts w:eastAsia="DFKai-SB"/>
        </w:rPr>
        <w:t xml:space="preserve"> </w:t>
      </w:r>
    </w:p>
    <w:p w:rsidR="00043B15" w:rsidRDefault="0066513B">
      <w:pPr>
        <w:autoSpaceDE w:val="0"/>
        <w:autoSpaceDN w:val="0"/>
        <w:adjustRightInd w:val="0"/>
        <w:ind w:left="110" w:right="49"/>
        <w:jc w:val="center"/>
        <w:rPr>
          <w:rFonts w:eastAsia="DFKai-SB"/>
          <w:b/>
          <w:bCs/>
          <w:color w:val="231F20"/>
          <w:spacing w:val="4"/>
        </w:rPr>
      </w:pPr>
      <w:r>
        <w:rPr>
          <w:rFonts w:eastAsia="DFKai-SB" w:hint="eastAsia"/>
          <w:b/>
          <w:bCs/>
          <w:color w:val="231F20"/>
          <w:spacing w:val="4"/>
        </w:rPr>
        <w:t xml:space="preserve"> </w:t>
      </w:r>
      <w:r>
        <w:rPr>
          <w:rFonts w:eastAsia="DFKai-SB" w:hint="eastAsia"/>
          <w:b/>
          <w:bCs/>
          <w:color w:val="231F20"/>
          <w:spacing w:val="4"/>
          <w:lang w:eastAsia="zh-HK"/>
        </w:rPr>
        <w:t>建議修訂股票期權計劃的條款</w:t>
      </w:r>
    </w:p>
    <w:p w:rsidR="00043B15" w:rsidRDefault="00043B15">
      <w:pPr>
        <w:autoSpaceDE w:val="0"/>
        <w:autoSpaceDN w:val="0"/>
        <w:adjustRightInd w:val="0"/>
        <w:ind w:left="110" w:right="49"/>
        <w:jc w:val="center"/>
        <w:rPr>
          <w:rFonts w:eastAsia="DFKai-SB"/>
          <w:b/>
          <w:bCs/>
          <w:color w:val="231F20"/>
          <w:spacing w:val="4"/>
        </w:rPr>
      </w:pPr>
    </w:p>
    <w:tbl>
      <w:tblPr>
        <w:tblpPr w:leftFromText="180" w:rightFromText="180" w:vertAnchor="text" w:horzAnchor="margin" w:tblpXSpec="center" w:tblpY="224"/>
        <w:tblW w:w="908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085"/>
      </w:tblGrid>
      <w:tr w:rsidR="00043B15">
        <w:trPr>
          <w:trHeight w:val="18"/>
        </w:trPr>
        <w:tc>
          <w:tcPr>
            <w:tcW w:w="9085" w:type="dxa"/>
            <w:tcBorders>
              <w:left w:val="single" w:sz="4" w:space="0" w:color="auto"/>
              <w:right w:val="single" w:sz="4" w:space="0" w:color="auto"/>
            </w:tcBorders>
            <w:tcMar>
              <w:top w:w="113" w:type="dxa"/>
              <w:left w:w="170" w:type="dxa"/>
              <w:bottom w:w="170" w:type="dxa"/>
              <w:right w:w="170" w:type="dxa"/>
            </w:tcMar>
            <w:vAlign w:val="bottom"/>
          </w:tcPr>
          <w:p w:rsidR="00043B15" w:rsidRDefault="0066513B">
            <w:pPr>
              <w:autoSpaceDE w:val="0"/>
              <w:autoSpaceDN w:val="0"/>
              <w:adjustRightInd w:val="0"/>
              <w:ind w:right="-76"/>
              <w:jc w:val="both"/>
              <w:rPr>
                <w:rFonts w:eastAsia="DFKai-SB"/>
                <w:bCs/>
                <w:color w:val="231F20"/>
                <w:spacing w:val="4"/>
                <w:lang w:eastAsia="zh-HK"/>
              </w:rPr>
            </w:pPr>
            <w:proofErr w:type="gramStart"/>
            <w:r>
              <w:rPr>
                <w:rFonts w:eastAsia="DFKai-SB" w:hint="eastAsia"/>
                <w:bCs/>
                <w:color w:val="231F20"/>
                <w:spacing w:val="4"/>
                <w:lang w:eastAsia="zh-HK"/>
              </w:rPr>
              <w:t>茲提述</w:t>
            </w:r>
            <w:proofErr w:type="gramEnd"/>
            <w:r>
              <w:rPr>
                <w:rFonts w:eastAsia="DFKai-SB" w:hint="eastAsia"/>
                <w:bCs/>
                <w:color w:val="231F20"/>
                <w:spacing w:val="4"/>
                <w:lang w:eastAsia="zh-HK"/>
              </w:rPr>
              <w:t>本公司</w:t>
            </w:r>
            <w:r>
              <w:rPr>
                <w:rFonts w:eastAsia="DFKai-SB" w:hint="eastAsia"/>
                <w:bCs/>
                <w:color w:val="231F20"/>
                <w:spacing w:val="4"/>
                <w:lang w:eastAsia="zh-HK"/>
              </w:rPr>
              <w:t>(</w:t>
            </w:r>
            <w:proofErr w:type="spellStart"/>
            <w:r>
              <w:rPr>
                <w:rFonts w:eastAsia="DFKai-SB"/>
                <w:bCs/>
                <w:color w:val="231F20"/>
                <w:spacing w:val="4"/>
                <w:lang w:eastAsia="zh-HK"/>
              </w:rPr>
              <w:t>i</w:t>
            </w:r>
            <w:proofErr w:type="spellEnd"/>
            <w:r>
              <w:rPr>
                <w:rFonts w:eastAsia="DFKai-SB"/>
                <w:bCs/>
                <w:color w:val="231F20"/>
                <w:spacing w:val="4"/>
                <w:lang w:eastAsia="zh-HK"/>
              </w:rPr>
              <w:t>)</w:t>
            </w:r>
            <w:r>
              <w:rPr>
                <w:rFonts w:eastAsia="DFKai-SB" w:hint="eastAsia"/>
                <w:bCs/>
                <w:color w:val="231F20"/>
                <w:spacing w:val="4"/>
                <w:lang w:eastAsia="zh-HK"/>
              </w:rPr>
              <w:t>日期為</w:t>
            </w:r>
            <w:r>
              <w:rPr>
                <w:rFonts w:eastAsia="DFKai-SB" w:hint="eastAsia"/>
                <w:bCs/>
                <w:color w:val="231F20"/>
                <w:spacing w:val="4"/>
                <w:lang w:eastAsia="zh-HK"/>
              </w:rPr>
              <w:t>2018</w:t>
            </w:r>
            <w:r>
              <w:rPr>
                <w:rFonts w:eastAsia="DFKai-SB" w:hint="eastAsia"/>
                <w:bCs/>
                <w:color w:val="231F20"/>
                <w:spacing w:val="4"/>
                <w:lang w:eastAsia="zh-HK"/>
              </w:rPr>
              <w:t>年</w:t>
            </w:r>
            <w:r>
              <w:rPr>
                <w:rFonts w:eastAsia="DFKai-SB" w:hint="eastAsia"/>
                <w:bCs/>
                <w:color w:val="231F20"/>
                <w:spacing w:val="4"/>
                <w:lang w:eastAsia="zh-HK"/>
              </w:rPr>
              <w:t>11</w:t>
            </w:r>
            <w:r>
              <w:rPr>
                <w:rFonts w:eastAsia="DFKai-SB" w:hint="eastAsia"/>
                <w:bCs/>
                <w:color w:val="231F20"/>
                <w:spacing w:val="4"/>
                <w:lang w:eastAsia="zh-HK"/>
              </w:rPr>
              <w:t>月</w:t>
            </w:r>
            <w:r>
              <w:rPr>
                <w:rFonts w:eastAsia="DFKai-SB" w:hint="eastAsia"/>
                <w:bCs/>
                <w:color w:val="231F20"/>
                <w:spacing w:val="4"/>
                <w:lang w:eastAsia="zh-HK"/>
              </w:rPr>
              <w:t>6</w:t>
            </w:r>
            <w:r>
              <w:rPr>
                <w:rFonts w:eastAsia="DFKai-SB" w:hint="eastAsia"/>
                <w:bCs/>
                <w:color w:val="231F20"/>
                <w:spacing w:val="4"/>
                <w:lang w:eastAsia="zh-HK"/>
              </w:rPr>
              <w:t>日的公告及</w:t>
            </w:r>
            <w:r>
              <w:rPr>
                <w:rFonts w:eastAsia="DFKai-SB" w:hint="eastAsia"/>
                <w:bCs/>
                <w:color w:val="231F20"/>
                <w:spacing w:val="4"/>
                <w:lang w:eastAsia="zh-HK"/>
              </w:rPr>
              <w:t>2018</w:t>
            </w:r>
            <w:r>
              <w:rPr>
                <w:rFonts w:eastAsia="DFKai-SB" w:hint="eastAsia"/>
                <w:bCs/>
                <w:color w:val="231F20"/>
                <w:spacing w:val="4"/>
                <w:lang w:eastAsia="zh-HK"/>
              </w:rPr>
              <w:t>年</w:t>
            </w:r>
            <w:r>
              <w:rPr>
                <w:rFonts w:eastAsia="DFKai-SB" w:hint="eastAsia"/>
                <w:bCs/>
                <w:color w:val="231F20"/>
                <w:spacing w:val="4"/>
                <w:lang w:eastAsia="zh-HK"/>
              </w:rPr>
              <w:t>12</w:t>
            </w:r>
            <w:r>
              <w:rPr>
                <w:rFonts w:eastAsia="DFKai-SB" w:hint="eastAsia"/>
                <w:bCs/>
                <w:color w:val="231F20"/>
                <w:spacing w:val="4"/>
                <w:lang w:eastAsia="zh-HK"/>
              </w:rPr>
              <w:t>月</w:t>
            </w:r>
            <w:r>
              <w:rPr>
                <w:rFonts w:eastAsia="DFKai-SB" w:hint="eastAsia"/>
                <w:bCs/>
                <w:color w:val="231F20"/>
                <w:spacing w:val="4"/>
                <w:lang w:eastAsia="zh-HK"/>
              </w:rPr>
              <w:t>12</w:t>
            </w:r>
            <w:r>
              <w:rPr>
                <w:rFonts w:eastAsia="DFKai-SB" w:hint="eastAsia"/>
                <w:bCs/>
                <w:color w:val="231F20"/>
                <w:spacing w:val="4"/>
                <w:lang w:eastAsia="zh-HK"/>
              </w:rPr>
              <w:t>日的通函，內容有關建議採納股票期權計劃及據此進行的授予；及</w:t>
            </w:r>
            <w:r>
              <w:rPr>
                <w:rFonts w:eastAsia="DFKai-SB" w:hint="eastAsia"/>
                <w:bCs/>
                <w:color w:val="231F20"/>
                <w:spacing w:val="4"/>
                <w:lang w:eastAsia="zh-HK"/>
              </w:rPr>
              <w:t>(</w:t>
            </w:r>
            <w:r>
              <w:rPr>
                <w:rFonts w:eastAsia="DFKai-SB"/>
                <w:bCs/>
                <w:color w:val="231F20"/>
                <w:spacing w:val="4"/>
                <w:lang w:eastAsia="zh-HK"/>
              </w:rPr>
              <w:t>ii)</w:t>
            </w:r>
            <w:r>
              <w:rPr>
                <w:rFonts w:eastAsia="DFKai-SB" w:hint="eastAsia"/>
                <w:bCs/>
                <w:color w:val="231F20"/>
                <w:spacing w:val="4"/>
                <w:lang w:eastAsia="zh-HK"/>
              </w:rPr>
              <w:t>日期為</w:t>
            </w:r>
            <w:r>
              <w:rPr>
                <w:rFonts w:eastAsia="DFKai-SB" w:hint="eastAsia"/>
                <w:bCs/>
                <w:color w:val="231F20"/>
                <w:spacing w:val="4"/>
                <w:lang w:eastAsia="zh-HK"/>
              </w:rPr>
              <w:t>2018</w:t>
            </w:r>
            <w:r>
              <w:rPr>
                <w:rFonts w:eastAsia="DFKai-SB" w:hint="eastAsia"/>
                <w:bCs/>
                <w:color w:val="231F20"/>
                <w:spacing w:val="4"/>
                <w:lang w:eastAsia="zh-HK"/>
              </w:rPr>
              <w:t>年</w:t>
            </w:r>
            <w:r>
              <w:rPr>
                <w:rFonts w:eastAsia="DFKai-SB" w:hint="eastAsia"/>
                <w:bCs/>
                <w:color w:val="231F20"/>
                <w:spacing w:val="4"/>
              </w:rPr>
              <w:t>12</w:t>
            </w:r>
            <w:r>
              <w:rPr>
                <w:rFonts w:eastAsia="DFKai-SB" w:hint="eastAsia"/>
                <w:bCs/>
                <w:color w:val="231F20"/>
                <w:spacing w:val="4"/>
                <w:lang w:eastAsia="zh-HK"/>
              </w:rPr>
              <w:t>月</w:t>
            </w:r>
            <w:r>
              <w:rPr>
                <w:rFonts w:eastAsia="DFKai-SB" w:hint="eastAsia"/>
                <w:bCs/>
                <w:color w:val="231F20"/>
                <w:spacing w:val="4"/>
              </w:rPr>
              <w:t>28</w:t>
            </w:r>
            <w:r>
              <w:rPr>
                <w:rFonts w:eastAsia="DFKai-SB" w:hint="eastAsia"/>
                <w:bCs/>
                <w:color w:val="231F20"/>
                <w:spacing w:val="4"/>
                <w:lang w:eastAsia="zh-HK"/>
              </w:rPr>
              <w:t>日的投票結果公告，內容有關股東批准採納股票期權計劃及據此進行的授予。除非本公告另有界定，本公告所用詞彙與上述公告及通函所界定者具有相同涵義。</w:t>
            </w:r>
          </w:p>
          <w:p w:rsidR="00043B15" w:rsidRDefault="00043B15">
            <w:pPr>
              <w:autoSpaceDE w:val="0"/>
              <w:autoSpaceDN w:val="0"/>
              <w:adjustRightInd w:val="0"/>
              <w:ind w:right="49"/>
              <w:rPr>
                <w:rFonts w:eastAsia="DFKai-SB"/>
                <w:b/>
                <w:bCs/>
                <w:color w:val="231F20"/>
                <w:spacing w:val="4"/>
                <w:lang w:eastAsia="zh-HK"/>
              </w:rPr>
            </w:pPr>
          </w:p>
          <w:p w:rsidR="00043B15" w:rsidRDefault="0066513B">
            <w:pPr>
              <w:autoSpaceDE w:val="0"/>
              <w:autoSpaceDN w:val="0"/>
              <w:adjustRightInd w:val="0"/>
              <w:ind w:right="49"/>
              <w:jc w:val="both"/>
              <w:rPr>
                <w:rFonts w:eastAsia="DFKai-SB"/>
                <w:bCs/>
                <w:color w:val="231F20"/>
                <w:spacing w:val="4"/>
                <w:lang w:eastAsia="zh-HK"/>
              </w:rPr>
            </w:pPr>
            <w:r>
              <w:rPr>
                <w:rFonts w:eastAsia="DFKai-SB"/>
                <w:bCs/>
                <w:color w:val="231F20"/>
                <w:spacing w:val="4"/>
              </w:rPr>
              <w:t>2020</w:t>
            </w:r>
            <w:r>
              <w:rPr>
                <w:rFonts w:eastAsia="DFKai-SB" w:hint="eastAsia"/>
                <w:bCs/>
                <w:color w:val="231F20"/>
                <w:spacing w:val="4"/>
                <w:lang w:eastAsia="zh-HK"/>
              </w:rPr>
              <w:t>年</w:t>
            </w:r>
            <w:r>
              <w:rPr>
                <w:rFonts w:eastAsia="DFKai-SB"/>
                <w:bCs/>
                <w:color w:val="231F20"/>
                <w:spacing w:val="4"/>
                <w:lang w:eastAsia="zh-HK"/>
              </w:rPr>
              <w:t>10</w:t>
            </w:r>
            <w:r>
              <w:rPr>
                <w:rFonts w:eastAsia="DFKai-SB" w:hint="eastAsia"/>
                <w:bCs/>
                <w:color w:val="231F20"/>
                <w:spacing w:val="4"/>
                <w:lang w:eastAsia="zh-HK"/>
              </w:rPr>
              <w:t>月</w:t>
            </w:r>
            <w:r>
              <w:rPr>
                <w:rFonts w:eastAsia="DFKai-SB"/>
              </w:rPr>
              <w:t>22</w:t>
            </w:r>
            <w:r>
              <w:rPr>
                <w:rFonts w:eastAsia="DFKai-SB" w:hint="eastAsia"/>
                <w:bCs/>
                <w:color w:val="231F20"/>
                <w:spacing w:val="4"/>
                <w:lang w:eastAsia="zh-HK"/>
              </w:rPr>
              <w:t>日</w:t>
            </w:r>
            <w:r>
              <w:rPr>
                <w:rFonts w:eastAsia="DFKai-SB" w:hint="eastAsia"/>
                <w:bCs/>
                <w:color w:val="231F20"/>
                <w:spacing w:val="4"/>
              </w:rPr>
              <w:t>，</w:t>
            </w:r>
            <w:proofErr w:type="gramStart"/>
            <w:r>
              <w:rPr>
                <w:rFonts w:eastAsia="DFKai-SB" w:hint="eastAsia"/>
                <w:bCs/>
                <w:color w:val="231F20"/>
                <w:spacing w:val="4"/>
                <w:lang w:eastAsia="zh-HK"/>
              </w:rPr>
              <w:t>本公司董事會</w:t>
            </w:r>
            <w:r>
              <w:rPr>
                <w:rFonts w:eastAsia="DFKai-SB"/>
                <w:bCs/>
                <w:color w:val="231F20"/>
                <w:spacing w:val="4"/>
                <w:lang w:eastAsia="zh-HK"/>
              </w:rPr>
              <w:t>(</w:t>
            </w:r>
            <w:proofErr w:type="gramEnd"/>
            <w:r>
              <w:rPr>
                <w:rFonts w:eastAsia="DFKai-SB" w:hint="eastAsia"/>
                <w:bCs/>
                <w:color w:val="231F20"/>
                <w:spacing w:val="4"/>
                <w:lang w:eastAsia="zh-HK"/>
              </w:rPr>
              <w:t>「</w:t>
            </w:r>
            <w:r>
              <w:rPr>
                <w:rFonts w:eastAsia="DFKai-SB" w:hint="eastAsia"/>
                <w:b/>
                <w:bCs/>
                <w:color w:val="231F20"/>
                <w:spacing w:val="4"/>
                <w:lang w:eastAsia="zh-HK"/>
              </w:rPr>
              <w:t>董事會</w:t>
            </w:r>
            <w:r>
              <w:rPr>
                <w:rFonts w:eastAsia="DFKai-SB" w:hint="eastAsia"/>
                <w:bCs/>
                <w:color w:val="231F20"/>
                <w:spacing w:val="4"/>
                <w:lang w:eastAsia="zh-HK"/>
              </w:rPr>
              <w:t>」</w:t>
            </w:r>
            <w:r>
              <w:rPr>
                <w:rFonts w:eastAsia="DFKai-SB"/>
                <w:bCs/>
                <w:color w:val="231F20"/>
                <w:spacing w:val="4"/>
                <w:lang w:eastAsia="zh-HK"/>
              </w:rPr>
              <w:t>)</w:t>
            </w:r>
            <w:r>
              <w:rPr>
                <w:rFonts w:eastAsia="DFKai-SB" w:hint="eastAsia"/>
                <w:bCs/>
                <w:color w:val="231F20"/>
                <w:spacing w:val="4"/>
                <w:lang w:eastAsia="zh-HK"/>
              </w:rPr>
              <w:t>議決於臨時股東大會</w:t>
            </w:r>
            <w:r>
              <w:rPr>
                <w:rFonts w:eastAsia="DFKai-SB" w:hint="eastAsia"/>
                <w:bCs/>
                <w:color w:val="231F20"/>
                <w:spacing w:val="4"/>
              </w:rPr>
              <w:t xml:space="preserve"> (</w:t>
            </w:r>
            <w:r>
              <w:rPr>
                <w:rFonts w:eastAsia="DFKai-SB" w:hint="eastAsia"/>
                <w:bCs/>
                <w:color w:val="231F20"/>
                <w:spacing w:val="4"/>
                <w:lang w:eastAsia="zh-HK"/>
              </w:rPr>
              <w:t>「</w:t>
            </w:r>
            <w:r>
              <w:rPr>
                <w:rFonts w:eastAsia="DFKai-SB" w:hint="eastAsia"/>
                <w:b/>
                <w:bCs/>
                <w:color w:val="231F20"/>
                <w:spacing w:val="4"/>
                <w:lang w:eastAsia="zh-HK"/>
              </w:rPr>
              <w:t>臨時股東大會</w:t>
            </w:r>
            <w:r>
              <w:rPr>
                <w:rFonts w:eastAsia="DFKai-SB" w:hint="eastAsia"/>
                <w:bCs/>
                <w:color w:val="231F20"/>
                <w:spacing w:val="4"/>
                <w:lang w:eastAsia="zh-HK"/>
              </w:rPr>
              <w:t>」</w:t>
            </w:r>
            <w:r>
              <w:rPr>
                <w:rFonts w:eastAsia="DFKai-SB" w:hint="eastAsia"/>
                <w:bCs/>
                <w:color w:val="231F20"/>
                <w:spacing w:val="4"/>
              </w:rPr>
              <w:t>)</w:t>
            </w:r>
            <w:r>
              <w:rPr>
                <w:rFonts w:eastAsia="DFKai-SB" w:hint="eastAsia"/>
                <w:bCs/>
                <w:color w:val="231F20"/>
                <w:spacing w:val="4"/>
                <w:lang w:eastAsia="zh-HK"/>
              </w:rPr>
              <w:t>及</w:t>
            </w:r>
            <w:r>
              <w:rPr>
                <w:rFonts w:eastAsia="DFKai-SB" w:hint="eastAsia"/>
                <w:bCs/>
                <w:color w:val="231F20"/>
                <w:spacing w:val="4"/>
                <w:lang w:eastAsia="zh-HK"/>
              </w:rPr>
              <w:t>H</w:t>
            </w:r>
            <w:r>
              <w:rPr>
                <w:rFonts w:eastAsia="DFKai-SB" w:hint="eastAsia"/>
                <w:bCs/>
                <w:color w:val="231F20"/>
                <w:spacing w:val="4"/>
                <w:lang w:eastAsia="zh-HK"/>
              </w:rPr>
              <w:t>股類別股東會議</w:t>
            </w:r>
            <w:r>
              <w:rPr>
                <w:rFonts w:eastAsia="DFKai-SB"/>
                <w:bCs/>
                <w:color w:val="231F20"/>
                <w:spacing w:val="4"/>
                <w:lang w:eastAsia="zh-HK"/>
              </w:rPr>
              <w:t>(</w:t>
            </w:r>
            <w:r>
              <w:rPr>
                <w:rFonts w:eastAsia="DFKai-SB" w:hint="eastAsia"/>
                <w:bCs/>
                <w:color w:val="231F20"/>
                <w:spacing w:val="4"/>
                <w:lang w:eastAsia="zh-HK"/>
              </w:rPr>
              <w:t>「</w:t>
            </w:r>
            <w:r>
              <w:rPr>
                <w:rFonts w:eastAsia="DFKai-SB" w:hint="eastAsia"/>
                <w:b/>
                <w:bCs/>
                <w:color w:val="231F20"/>
                <w:spacing w:val="4"/>
                <w:lang w:eastAsia="zh-HK"/>
              </w:rPr>
              <w:t>H</w:t>
            </w:r>
            <w:r>
              <w:rPr>
                <w:rFonts w:eastAsia="DFKai-SB" w:hint="eastAsia"/>
                <w:b/>
                <w:bCs/>
                <w:color w:val="231F20"/>
                <w:spacing w:val="4"/>
                <w:lang w:eastAsia="zh-HK"/>
              </w:rPr>
              <w:t>股類別股東會議</w:t>
            </w:r>
            <w:r>
              <w:rPr>
                <w:rFonts w:eastAsia="DFKai-SB" w:hint="eastAsia"/>
                <w:bCs/>
                <w:color w:val="231F20"/>
                <w:spacing w:val="4"/>
                <w:lang w:eastAsia="zh-HK"/>
              </w:rPr>
              <w:t>」</w:t>
            </w:r>
            <w:r>
              <w:rPr>
                <w:rFonts w:eastAsia="DFKai-SB"/>
                <w:bCs/>
                <w:color w:val="231F20"/>
                <w:spacing w:val="4"/>
                <w:lang w:eastAsia="zh-HK"/>
              </w:rPr>
              <w:t>)</w:t>
            </w:r>
            <w:r>
              <w:rPr>
                <w:rFonts w:eastAsia="DFKai-SB" w:hint="eastAsia"/>
                <w:bCs/>
                <w:color w:val="231F20"/>
                <w:spacing w:val="4"/>
                <w:lang w:eastAsia="zh-HK"/>
              </w:rPr>
              <w:t>上向股東提呈批准有關股票期權計畫的建議修訂</w:t>
            </w:r>
            <w:r>
              <w:rPr>
                <w:rFonts w:eastAsia="DFKai-SB"/>
                <w:bCs/>
                <w:color w:val="231F20"/>
                <w:spacing w:val="4"/>
                <w:lang w:eastAsia="zh-HK"/>
              </w:rPr>
              <w:t>(</w:t>
            </w:r>
            <w:r>
              <w:rPr>
                <w:rFonts w:eastAsia="DFKai-SB" w:hint="eastAsia"/>
                <w:bCs/>
                <w:color w:val="231F20"/>
                <w:spacing w:val="4"/>
                <w:lang w:eastAsia="zh-HK"/>
              </w:rPr>
              <w:t>「</w:t>
            </w:r>
            <w:r>
              <w:rPr>
                <w:rFonts w:eastAsia="DFKai-SB" w:hint="eastAsia"/>
                <w:b/>
                <w:bCs/>
                <w:color w:val="231F20"/>
                <w:spacing w:val="4"/>
                <w:lang w:eastAsia="zh-HK"/>
              </w:rPr>
              <w:t>建議修訂</w:t>
            </w:r>
            <w:r>
              <w:rPr>
                <w:rFonts w:eastAsia="DFKai-SB" w:hint="eastAsia"/>
                <w:bCs/>
                <w:color w:val="231F20"/>
                <w:spacing w:val="4"/>
                <w:lang w:eastAsia="zh-HK"/>
              </w:rPr>
              <w:t>」</w:t>
            </w:r>
            <w:r>
              <w:rPr>
                <w:rFonts w:eastAsia="DFKai-SB"/>
                <w:bCs/>
                <w:color w:val="231F20"/>
                <w:spacing w:val="4"/>
                <w:lang w:eastAsia="zh-HK"/>
              </w:rPr>
              <w:t>)</w:t>
            </w:r>
            <w:r>
              <w:rPr>
                <w:rFonts w:eastAsia="DFKai-SB" w:hint="eastAsia"/>
                <w:bCs/>
                <w:color w:val="231F20"/>
                <w:spacing w:val="4"/>
              </w:rPr>
              <w:t>，</w:t>
            </w:r>
            <w:r>
              <w:rPr>
                <w:rFonts w:eastAsia="DFKai-SB" w:hint="eastAsia"/>
                <w:bCs/>
                <w:color w:val="231F20"/>
                <w:spacing w:val="4"/>
                <w:lang w:eastAsia="zh-HK"/>
              </w:rPr>
              <w:t>以符合由</w:t>
            </w:r>
            <w:r>
              <w:rPr>
                <w:rFonts w:eastAsia="DFKai-SB" w:hint="eastAsia"/>
                <w:bCs/>
                <w:color w:val="231F20"/>
                <w:spacing w:val="4"/>
              </w:rPr>
              <w:t>中華人民共和國財政部</w:t>
            </w:r>
            <w:r>
              <w:rPr>
                <w:rFonts w:eastAsia="DFKai-SB" w:hint="eastAsia"/>
                <w:bCs/>
                <w:color w:val="231F20"/>
                <w:spacing w:val="4"/>
                <w:lang w:eastAsia="zh-HK"/>
              </w:rPr>
              <w:t>發出的《關於規範國有控股上市公司實施股權激勵制度有關問題的通知》的規定</w:t>
            </w:r>
            <w:r>
              <w:rPr>
                <w:rFonts w:eastAsia="DFKai-SB" w:hint="eastAsia"/>
                <w:bCs/>
                <w:color w:val="231F20"/>
                <w:spacing w:val="4"/>
              </w:rPr>
              <w:t>。</w:t>
            </w:r>
          </w:p>
          <w:p w:rsidR="00043B15" w:rsidRDefault="00043B15">
            <w:pPr>
              <w:autoSpaceDE w:val="0"/>
              <w:autoSpaceDN w:val="0"/>
              <w:adjustRightInd w:val="0"/>
              <w:ind w:right="49"/>
              <w:jc w:val="both"/>
              <w:rPr>
                <w:rFonts w:eastAsia="DFKai-SB"/>
                <w:bCs/>
                <w:color w:val="231F20"/>
                <w:spacing w:val="4"/>
                <w:lang w:eastAsia="zh-HK"/>
              </w:rPr>
            </w:pPr>
          </w:p>
          <w:p w:rsidR="00043B15" w:rsidRDefault="0066513B">
            <w:pPr>
              <w:autoSpaceDE w:val="0"/>
              <w:autoSpaceDN w:val="0"/>
              <w:adjustRightInd w:val="0"/>
              <w:ind w:right="49"/>
              <w:jc w:val="both"/>
              <w:rPr>
                <w:rFonts w:eastAsia="DFKai-SB"/>
                <w:bCs/>
                <w:color w:val="231F20"/>
                <w:spacing w:val="4"/>
                <w:lang w:eastAsia="zh-HK"/>
              </w:rPr>
            </w:pPr>
            <w:r>
              <w:rPr>
                <w:rFonts w:eastAsia="DFKai-SB" w:hint="eastAsia"/>
                <w:bCs/>
                <w:color w:val="231F20"/>
                <w:spacing w:val="4"/>
                <w:lang w:eastAsia="zh-HK"/>
              </w:rPr>
              <w:t>載列（其中包括）（</w:t>
            </w:r>
            <w:proofErr w:type="spellStart"/>
            <w:r>
              <w:rPr>
                <w:rFonts w:eastAsia="DFKai-SB" w:hint="eastAsia"/>
                <w:bCs/>
                <w:color w:val="231F20"/>
                <w:spacing w:val="4"/>
                <w:lang w:eastAsia="zh-HK"/>
              </w:rPr>
              <w:t>i</w:t>
            </w:r>
            <w:proofErr w:type="spellEnd"/>
            <w:r>
              <w:rPr>
                <w:rFonts w:eastAsia="DFKai-SB" w:hint="eastAsia"/>
                <w:bCs/>
                <w:color w:val="231F20"/>
                <w:spacing w:val="4"/>
                <w:lang w:eastAsia="zh-HK"/>
              </w:rPr>
              <w:t>）建議修訂的詳情；</w:t>
            </w:r>
            <w:r>
              <w:rPr>
                <w:rFonts w:eastAsia="DFKai-SB" w:hint="eastAsia"/>
                <w:bCs/>
                <w:color w:val="231F20"/>
                <w:spacing w:val="4"/>
                <w:lang w:eastAsia="zh-HK"/>
              </w:rPr>
              <w:t xml:space="preserve"> </w:t>
            </w:r>
            <w:r>
              <w:rPr>
                <w:rFonts w:eastAsia="DFKai-SB" w:hint="eastAsia"/>
                <w:bCs/>
                <w:color w:val="231F20"/>
                <w:spacing w:val="4"/>
                <w:lang w:eastAsia="zh-HK"/>
              </w:rPr>
              <w:t>及（</w:t>
            </w:r>
            <w:r>
              <w:rPr>
                <w:rFonts w:eastAsia="DFKai-SB" w:hint="eastAsia"/>
                <w:bCs/>
                <w:color w:val="231F20"/>
                <w:spacing w:val="4"/>
                <w:lang w:eastAsia="zh-HK"/>
              </w:rPr>
              <w:t>ii</w:t>
            </w:r>
            <w:r>
              <w:rPr>
                <w:rFonts w:eastAsia="DFKai-SB" w:hint="eastAsia"/>
                <w:bCs/>
                <w:color w:val="231F20"/>
                <w:spacing w:val="4"/>
                <w:lang w:eastAsia="zh-HK"/>
              </w:rPr>
              <w:t>）臨時股東大會及</w:t>
            </w:r>
            <w:r>
              <w:rPr>
                <w:rFonts w:eastAsia="DFKai-SB" w:hint="eastAsia"/>
                <w:bCs/>
                <w:color w:val="231F20"/>
                <w:spacing w:val="4"/>
                <w:lang w:eastAsia="zh-HK"/>
              </w:rPr>
              <w:t>H</w:t>
            </w:r>
            <w:r>
              <w:rPr>
                <w:rFonts w:eastAsia="DFKai-SB" w:hint="eastAsia"/>
                <w:bCs/>
                <w:color w:val="231F20"/>
                <w:spacing w:val="4"/>
                <w:lang w:eastAsia="zh-HK"/>
              </w:rPr>
              <w:t>股類別股東會議通告的本公司通函</w:t>
            </w:r>
            <w:r>
              <w:rPr>
                <w:rFonts w:eastAsia="DFKai-SB" w:hint="eastAsia"/>
                <w:bCs/>
                <w:color w:val="231F20"/>
                <w:spacing w:val="4"/>
              </w:rPr>
              <w:t>，</w:t>
            </w:r>
            <w:r>
              <w:rPr>
                <w:rFonts w:eastAsia="DFKai-SB" w:hint="eastAsia"/>
                <w:bCs/>
                <w:color w:val="231F20"/>
                <w:spacing w:val="4"/>
                <w:lang w:eastAsia="zh-HK"/>
              </w:rPr>
              <w:t>將</w:t>
            </w:r>
            <w:proofErr w:type="gramStart"/>
            <w:r>
              <w:rPr>
                <w:rFonts w:eastAsia="DFKai-SB" w:hint="eastAsia"/>
                <w:bCs/>
                <w:color w:val="231F20"/>
                <w:spacing w:val="4"/>
                <w:lang w:eastAsia="zh-HK"/>
              </w:rPr>
              <w:t>於或約於</w:t>
            </w:r>
            <w:proofErr w:type="gramEnd"/>
            <w:r>
              <w:rPr>
                <w:rFonts w:eastAsia="DFKai-SB" w:hint="eastAsia"/>
                <w:bCs/>
                <w:color w:val="231F20"/>
                <w:spacing w:val="4"/>
                <w:lang w:eastAsia="zh-HK"/>
              </w:rPr>
              <w:t>2020</w:t>
            </w:r>
            <w:r>
              <w:rPr>
                <w:rFonts w:eastAsia="DFKai-SB" w:hint="eastAsia"/>
                <w:bCs/>
                <w:color w:val="231F20"/>
                <w:spacing w:val="4"/>
                <w:lang w:eastAsia="zh-HK"/>
              </w:rPr>
              <w:t>年</w:t>
            </w:r>
            <w:r w:rsidRPr="00847D1B">
              <w:rPr>
                <w:rFonts w:eastAsia="DFKai-SB"/>
                <w:bCs/>
                <w:color w:val="231F20"/>
                <w:spacing w:val="4"/>
                <w:lang w:eastAsia="zh-HK"/>
              </w:rPr>
              <w:t>1</w:t>
            </w:r>
            <w:r>
              <w:rPr>
                <w:rFonts w:eastAsia="SimSun" w:hint="eastAsia"/>
                <w:bCs/>
                <w:color w:val="231F20"/>
                <w:spacing w:val="4"/>
              </w:rPr>
              <w:t>2</w:t>
            </w:r>
            <w:r w:rsidRPr="00847D1B">
              <w:rPr>
                <w:rFonts w:eastAsia="DFKai-SB" w:hint="eastAsia"/>
                <w:bCs/>
                <w:color w:val="231F20"/>
                <w:spacing w:val="4"/>
                <w:lang w:eastAsia="zh-HK"/>
              </w:rPr>
              <w:t>月上旬</w:t>
            </w:r>
            <w:r>
              <w:rPr>
                <w:rFonts w:eastAsia="DFKai-SB" w:hint="eastAsia"/>
                <w:bCs/>
                <w:color w:val="231F20"/>
                <w:spacing w:val="4"/>
                <w:lang w:eastAsia="zh-HK"/>
              </w:rPr>
              <w:t>向股東寄發</w:t>
            </w:r>
            <w:r>
              <w:rPr>
                <w:rFonts w:eastAsia="DFKai-SB" w:hint="eastAsia"/>
                <w:bCs/>
                <w:color w:val="231F20"/>
                <w:spacing w:val="4"/>
              </w:rPr>
              <w:t>。</w:t>
            </w:r>
          </w:p>
          <w:p w:rsidR="00043B15" w:rsidRDefault="00043B15">
            <w:pPr>
              <w:autoSpaceDE w:val="0"/>
              <w:autoSpaceDN w:val="0"/>
              <w:adjustRightInd w:val="0"/>
              <w:ind w:right="49"/>
              <w:jc w:val="both"/>
              <w:rPr>
                <w:rFonts w:eastAsia="DFKai-SB"/>
                <w:bCs/>
                <w:color w:val="231F20"/>
                <w:spacing w:val="4"/>
                <w:lang w:eastAsia="zh-HK"/>
              </w:rPr>
            </w:pPr>
          </w:p>
        </w:tc>
      </w:tr>
    </w:tbl>
    <w:p w:rsidR="00043B15" w:rsidRDefault="00043B15">
      <w:pPr>
        <w:pStyle w:val="PlainText"/>
        <w:snapToGrid w:val="0"/>
        <w:jc w:val="both"/>
        <w:rPr>
          <w:rFonts w:ascii="Times New Roman" w:eastAsia="DFKai-SB" w:hAnsi="Times New Roman"/>
          <w:szCs w:val="24"/>
        </w:rPr>
      </w:pPr>
    </w:p>
    <w:p w:rsidR="00043B15" w:rsidRDefault="0066513B">
      <w:pPr>
        <w:pStyle w:val="PlainText"/>
        <w:snapToGrid w:val="0"/>
        <w:jc w:val="both"/>
        <w:rPr>
          <w:rFonts w:ascii="Times New Roman" w:eastAsia="DFKai-SB" w:hAnsi="Times New Roman"/>
          <w:b/>
          <w:bCs/>
          <w:color w:val="231F20"/>
          <w:spacing w:val="4"/>
          <w:szCs w:val="24"/>
          <w:lang w:eastAsia="zh-HK"/>
        </w:rPr>
      </w:pPr>
      <w:r>
        <w:rPr>
          <w:rFonts w:ascii="Times New Roman" w:eastAsia="DFKai-SB" w:hAnsi="Times New Roman" w:hint="eastAsia"/>
          <w:b/>
          <w:bCs/>
          <w:color w:val="231F20"/>
          <w:spacing w:val="4"/>
          <w:szCs w:val="24"/>
          <w:lang w:eastAsia="zh-HK"/>
        </w:rPr>
        <w:lastRenderedPageBreak/>
        <w:t>建議修訂股票期權計劃的</w:t>
      </w:r>
      <w:r>
        <w:rPr>
          <w:rFonts w:eastAsia="DFKai-SB" w:hint="eastAsia"/>
          <w:b/>
          <w:bCs/>
          <w:color w:val="231F20"/>
          <w:spacing w:val="4"/>
          <w:lang w:eastAsia="zh-HK"/>
        </w:rPr>
        <w:t>條款</w:t>
      </w:r>
    </w:p>
    <w:p w:rsidR="00043B15" w:rsidRDefault="00043B15">
      <w:pPr>
        <w:pStyle w:val="PlainText"/>
        <w:snapToGrid w:val="0"/>
        <w:jc w:val="both"/>
        <w:rPr>
          <w:rFonts w:ascii="Times New Roman" w:eastAsia="DFKai-SB" w:hAnsi="Times New Roman"/>
          <w:b/>
          <w:bCs/>
          <w:color w:val="231F20"/>
          <w:spacing w:val="4"/>
          <w:szCs w:val="24"/>
        </w:rPr>
      </w:pPr>
    </w:p>
    <w:p w:rsidR="00043B15" w:rsidRDefault="0066513B">
      <w:pPr>
        <w:pStyle w:val="PlainText"/>
        <w:snapToGrid w:val="0"/>
        <w:jc w:val="both"/>
        <w:rPr>
          <w:rFonts w:ascii="Times New Roman" w:eastAsia="DFKai-SB" w:hAnsi="Times New Roman"/>
          <w:bCs/>
          <w:color w:val="231F20"/>
          <w:spacing w:val="4"/>
          <w:szCs w:val="24"/>
          <w:lang w:eastAsia="zh-HK"/>
        </w:rPr>
      </w:pPr>
      <w:r>
        <w:rPr>
          <w:rFonts w:ascii="Times New Roman" w:eastAsia="DFKai-SB" w:hAnsi="Times New Roman" w:hint="eastAsia"/>
          <w:bCs/>
          <w:color w:val="231F20"/>
          <w:spacing w:val="4"/>
          <w:szCs w:val="24"/>
        </w:rPr>
        <w:t>於</w:t>
      </w:r>
      <w:r>
        <w:rPr>
          <w:rFonts w:ascii="Times New Roman" w:eastAsia="DFKai-SB" w:hAnsi="Times New Roman" w:hint="eastAsia"/>
          <w:bCs/>
          <w:color w:val="231F20"/>
          <w:spacing w:val="4"/>
          <w:szCs w:val="24"/>
        </w:rPr>
        <w:t>20</w:t>
      </w:r>
      <w:r>
        <w:rPr>
          <w:rFonts w:ascii="Times New Roman" w:eastAsia="DFKai-SB" w:hAnsi="Times New Roman"/>
          <w:bCs/>
          <w:color w:val="231F20"/>
          <w:spacing w:val="4"/>
          <w:szCs w:val="24"/>
        </w:rPr>
        <w:t>20</w:t>
      </w:r>
      <w:r>
        <w:rPr>
          <w:rFonts w:ascii="Times New Roman" w:eastAsia="DFKai-SB" w:hAnsi="Times New Roman" w:hint="eastAsia"/>
          <w:bCs/>
          <w:color w:val="231F20"/>
          <w:spacing w:val="4"/>
          <w:szCs w:val="24"/>
        </w:rPr>
        <w:t>年</w:t>
      </w:r>
      <w:r>
        <w:rPr>
          <w:rFonts w:ascii="Times New Roman" w:eastAsia="DFKai-SB" w:hAnsi="Times New Roman" w:hint="eastAsia"/>
          <w:bCs/>
          <w:color w:val="231F20"/>
          <w:spacing w:val="4"/>
          <w:szCs w:val="24"/>
        </w:rPr>
        <w:t>1</w:t>
      </w:r>
      <w:r>
        <w:rPr>
          <w:rFonts w:ascii="Times New Roman" w:eastAsia="DFKai-SB" w:hAnsi="Times New Roman"/>
          <w:bCs/>
          <w:color w:val="231F20"/>
          <w:spacing w:val="4"/>
          <w:szCs w:val="24"/>
        </w:rPr>
        <w:t>0</w:t>
      </w:r>
      <w:r>
        <w:rPr>
          <w:rFonts w:ascii="Times New Roman" w:eastAsia="DFKai-SB" w:hAnsi="Times New Roman" w:hint="eastAsia"/>
          <w:bCs/>
          <w:color w:val="231F20"/>
          <w:spacing w:val="4"/>
          <w:szCs w:val="24"/>
        </w:rPr>
        <w:t>月</w:t>
      </w:r>
      <w:r>
        <w:rPr>
          <w:rFonts w:ascii="Times New Roman" w:eastAsia="DFKai-SB" w:hAnsi="Times New Roman"/>
        </w:rPr>
        <w:t>22</w:t>
      </w:r>
      <w:r>
        <w:rPr>
          <w:rFonts w:ascii="Times New Roman" w:eastAsia="DFKai-SB" w:hAnsi="Times New Roman" w:hint="eastAsia"/>
          <w:bCs/>
          <w:color w:val="231F20"/>
          <w:spacing w:val="4"/>
          <w:szCs w:val="24"/>
        </w:rPr>
        <w:t>日</w:t>
      </w:r>
      <w:r>
        <w:rPr>
          <w:rFonts w:eastAsia="DFKai-SB" w:hint="eastAsia"/>
          <w:bCs/>
          <w:color w:val="231F20"/>
          <w:spacing w:val="4"/>
        </w:rPr>
        <w:t>，</w:t>
      </w:r>
      <w:r>
        <w:rPr>
          <w:rFonts w:ascii="Times New Roman" w:eastAsia="DFKai-SB" w:hAnsi="Times New Roman" w:hint="eastAsia"/>
          <w:bCs/>
          <w:color w:val="231F20"/>
          <w:spacing w:val="4"/>
          <w:szCs w:val="24"/>
        </w:rPr>
        <w:t>董事會議決建議修訂</w:t>
      </w:r>
      <w:r>
        <w:rPr>
          <w:rFonts w:ascii="Times New Roman" w:eastAsia="DFKai-SB" w:hAnsi="Times New Roman" w:hint="eastAsia"/>
          <w:bCs/>
          <w:color w:val="231F20"/>
          <w:spacing w:val="4"/>
          <w:szCs w:val="24"/>
          <w:lang w:eastAsia="zh-HK"/>
        </w:rPr>
        <w:t>於</w:t>
      </w:r>
      <w:r>
        <w:rPr>
          <w:rFonts w:ascii="Times New Roman" w:eastAsia="DFKai-SB" w:hAnsi="Times New Roman" w:hint="eastAsia"/>
          <w:bCs/>
          <w:color w:val="231F20"/>
          <w:spacing w:val="4"/>
          <w:szCs w:val="24"/>
        </w:rPr>
        <w:t>2018</w:t>
      </w:r>
      <w:r>
        <w:rPr>
          <w:rFonts w:ascii="Times New Roman" w:eastAsia="DFKai-SB" w:hAnsi="Times New Roman" w:hint="eastAsia"/>
          <w:bCs/>
          <w:color w:val="231F20"/>
          <w:spacing w:val="4"/>
          <w:szCs w:val="24"/>
          <w:lang w:eastAsia="zh-HK"/>
        </w:rPr>
        <w:t>年</w:t>
      </w:r>
      <w:r>
        <w:rPr>
          <w:rFonts w:ascii="Times New Roman" w:eastAsia="DFKai-SB" w:hAnsi="Times New Roman" w:hint="eastAsia"/>
          <w:bCs/>
          <w:color w:val="231F20"/>
          <w:spacing w:val="4"/>
          <w:szCs w:val="24"/>
        </w:rPr>
        <w:t>12</w:t>
      </w:r>
      <w:r>
        <w:rPr>
          <w:rFonts w:ascii="Times New Roman" w:eastAsia="DFKai-SB" w:hAnsi="Times New Roman" w:hint="eastAsia"/>
          <w:bCs/>
          <w:color w:val="231F20"/>
          <w:spacing w:val="4"/>
          <w:szCs w:val="24"/>
          <w:lang w:eastAsia="zh-HK"/>
        </w:rPr>
        <w:t>月</w:t>
      </w:r>
      <w:r>
        <w:rPr>
          <w:rFonts w:ascii="Times New Roman" w:eastAsia="DFKai-SB" w:hAnsi="Times New Roman" w:hint="eastAsia"/>
          <w:bCs/>
          <w:color w:val="231F20"/>
          <w:spacing w:val="4"/>
          <w:szCs w:val="24"/>
        </w:rPr>
        <w:t>28</w:t>
      </w:r>
      <w:r>
        <w:rPr>
          <w:rFonts w:ascii="Times New Roman" w:eastAsia="DFKai-SB" w:hAnsi="Times New Roman" w:hint="eastAsia"/>
          <w:bCs/>
          <w:color w:val="231F20"/>
          <w:spacing w:val="4"/>
          <w:szCs w:val="24"/>
          <w:lang w:eastAsia="zh-HK"/>
        </w:rPr>
        <w:t>日</w:t>
      </w:r>
      <w:r>
        <w:rPr>
          <w:rFonts w:ascii="Times New Roman" w:eastAsia="DFKai-SB" w:hAnsi="Times New Roman" w:hint="eastAsia"/>
          <w:bCs/>
          <w:color w:val="231F20"/>
          <w:spacing w:val="4"/>
          <w:szCs w:val="24"/>
        </w:rPr>
        <w:t>採納的本公司股票期權計劃，</w:t>
      </w:r>
      <w:r>
        <w:rPr>
          <w:rFonts w:eastAsia="DFKai-SB" w:hint="eastAsia"/>
          <w:bCs/>
          <w:color w:val="231F20"/>
          <w:spacing w:val="4"/>
          <w:lang w:eastAsia="zh-HK"/>
        </w:rPr>
        <w:t>以</w:t>
      </w:r>
      <w:r>
        <w:rPr>
          <w:rFonts w:eastAsia="DFKai-SB"/>
          <w:bCs/>
          <w:color w:val="231F20"/>
          <w:spacing w:val="4"/>
          <w:lang w:eastAsia="zh-HK"/>
        </w:rPr>
        <w:t>修</w:t>
      </w:r>
      <w:r>
        <w:rPr>
          <w:rFonts w:eastAsia="DFKai-SB" w:hint="eastAsia"/>
          <w:bCs/>
          <w:color w:val="231F20"/>
          <w:spacing w:val="4"/>
          <w:lang w:eastAsia="zh-HK"/>
        </w:rPr>
        <w:t>訂</w:t>
      </w:r>
      <w:r>
        <w:rPr>
          <w:rFonts w:ascii="Times New Roman" w:eastAsia="DFKai-SB" w:hAnsi="Times New Roman" w:hint="eastAsia"/>
          <w:bCs/>
          <w:color w:val="231F20"/>
          <w:spacing w:val="4"/>
          <w:szCs w:val="24"/>
          <w:lang w:eastAsia="zh-HK"/>
        </w:rPr>
        <w:t>關於</w:t>
      </w:r>
      <w:r>
        <w:rPr>
          <w:rFonts w:ascii="Times New Roman" w:eastAsia="DFKai-SB" w:hAnsi="Times New Roman" w:hint="eastAsia"/>
          <w:bCs/>
          <w:color w:val="231F20"/>
          <w:spacing w:val="4"/>
          <w:szCs w:val="24"/>
        </w:rPr>
        <w:t>激勵對象</w:t>
      </w:r>
      <w:r>
        <w:rPr>
          <w:rFonts w:ascii="Times New Roman" w:eastAsia="DFKai-SB" w:hAnsi="Times New Roman" w:hint="eastAsia"/>
          <w:bCs/>
          <w:color w:val="231F20"/>
          <w:spacing w:val="4"/>
          <w:szCs w:val="24"/>
          <w:lang w:eastAsia="zh-HK"/>
        </w:rPr>
        <w:t>情況變更</w:t>
      </w:r>
      <w:r>
        <w:rPr>
          <w:rFonts w:ascii="Times New Roman" w:eastAsia="DFKai-SB" w:hAnsi="Times New Roman" w:hint="eastAsia"/>
          <w:bCs/>
          <w:color w:val="231F20"/>
          <w:spacing w:val="4"/>
          <w:szCs w:val="24"/>
        </w:rPr>
        <w:t>的相關條款</w:t>
      </w:r>
      <w:r>
        <w:rPr>
          <w:rFonts w:ascii="Times New Roman" w:eastAsia="DFKai-SB" w:hAnsi="Times New Roman" w:hint="eastAsia"/>
          <w:bCs/>
          <w:color w:val="231F20"/>
          <w:spacing w:val="4"/>
          <w:szCs w:val="24"/>
          <w:lang w:eastAsia="zh-HK"/>
        </w:rPr>
        <w:t>，</w:t>
      </w:r>
      <w:r>
        <w:rPr>
          <w:rFonts w:eastAsia="DFKai-SB" w:hint="eastAsia"/>
          <w:bCs/>
          <w:color w:val="231F20"/>
          <w:spacing w:val="4"/>
          <w:lang w:eastAsia="zh-HK"/>
        </w:rPr>
        <w:t>以符合由</w:t>
      </w:r>
      <w:r>
        <w:rPr>
          <w:rFonts w:eastAsia="DFKai-SB" w:hint="eastAsia"/>
          <w:bCs/>
          <w:color w:val="231F20"/>
          <w:spacing w:val="4"/>
        </w:rPr>
        <w:t>中華人民共和國財政部</w:t>
      </w:r>
      <w:r>
        <w:rPr>
          <w:rFonts w:eastAsia="DFKai-SB" w:hint="eastAsia"/>
          <w:bCs/>
          <w:color w:val="231F20"/>
          <w:spacing w:val="4"/>
          <w:lang w:eastAsia="zh-HK"/>
        </w:rPr>
        <w:t>發出的《關於規範國有控股上市公司實施股權激勵制度有關問題的通知》的規定</w:t>
      </w:r>
      <w:r>
        <w:rPr>
          <w:rFonts w:eastAsia="DFKai-SB" w:hint="eastAsia"/>
          <w:bCs/>
          <w:color w:val="231F20"/>
          <w:spacing w:val="4"/>
        </w:rPr>
        <w:t>。建議</w:t>
      </w:r>
      <w:r>
        <w:rPr>
          <w:rFonts w:ascii="Times New Roman" w:eastAsia="DFKai-SB" w:hAnsi="Times New Roman" w:hint="eastAsia"/>
          <w:bCs/>
          <w:color w:val="231F20"/>
          <w:spacing w:val="4"/>
          <w:szCs w:val="24"/>
        </w:rPr>
        <w:t>修訂</w:t>
      </w:r>
      <w:r>
        <w:rPr>
          <w:rFonts w:ascii="Times New Roman" w:eastAsia="DFKai-SB" w:hAnsi="Times New Roman" w:hint="eastAsia"/>
          <w:bCs/>
          <w:color w:val="231F20"/>
          <w:spacing w:val="4"/>
          <w:szCs w:val="24"/>
          <w:lang w:eastAsia="zh-HK"/>
        </w:rPr>
        <w:t>詳情載</w:t>
      </w:r>
      <w:proofErr w:type="gramStart"/>
      <w:r>
        <w:rPr>
          <w:rFonts w:ascii="Times New Roman" w:eastAsia="DFKai-SB" w:hAnsi="Times New Roman" w:hint="eastAsia"/>
          <w:bCs/>
          <w:color w:val="231F20"/>
          <w:spacing w:val="4"/>
          <w:szCs w:val="24"/>
          <w:lang w:eastAsia="zh-HK"/>
        </w:rPr>
        <w:t>列如</w:t>
      </w:r>
      <w:proofErr w:type="gramEnd"/>
      <w:r>
        <w:rPr>
          <w:rFonts w:ascii="Times New Roman" w:eastAsia="DFKai-SB" w:hAnsi="Times New Roman" w:hint="eastAsia"/>
          <w:bCs/>
          <w:color w:val="231F20"/>
          <w:spacing w:val="4"/>
          <w:szCs w:val="24"/>
          <w:lang w:eastAsia="zh-HK"/>
        </w:rPr>
        <w:t>下。</w:t>
      </w:r>
    </w:p>
    <w:p w:rsidR="00043B15" w:rsidRDefault="00043B15">
      <w:pPr>
        <w:pStyle w:val="PlainText"/>
        <w:snapToGrid w:val="0"/>
        <w:jc w:val="both"/>
        <w:rPr>
          <w:rFonts w:ascii="Times New Roman" w:eastAsia="DFKai-SB" w:hAnsi="Times New Roman"/>
          <w:bCs/>
          <w:color w:val="231F20"/>
          <w:spacing w:val="4"/>
          <w:szCs w:val="24"/>
          <w:lang w:eastAsia="zh-HK"/>
        </w:rPr>
      </w:pPr>
    </w:p>
    <w:tbl>
      <w:tblPr>
        <w:tblStyle w:val="TableGrid"/>
        <w:tblW w:w="9080" w:type="dxa"/>
        <w:tblLayout w:type="fixed"/>
        <w:tblLook w:val="04A0" w:firstRow="1" w:lastRow="0" w:firstColumn="1" w:lastColumn="0" w:noHBand="0" w:noVBand="1"/>
      </w:tblPr>
      <w:tblGrid>
        <w:gridCol w:w="4540"/>
        <w:gridCol w:w="4540"/>
      </w:tblGrid>
      <w:tr w:rsidR="00043B15">
        <w:tc>
          <w:tcPr>
            <w:tcW w:w="9080" w:type="dxa"/>
            <w:gridSpan w:val="2"/>
          </w:tcPr>
          <w:p w:rsidR="00043B15" w:rsidRDefault="0066513B">
            <w:pPr>
              <w:pStyle w:val="PlainText"/>
              <w:snapToGrid w:val="0"/>
              <w:jc w:val="center"/>
              <w:rPr>
                <w:rFonts w:ascii="Times New Roman" w:eastAsia="DFKai-SB" w:hAnsi="Times New Roman"/>
                <w:b/>
                <w:bCs/>
                <w:color w:val="231F20"/>
                <w:spacing w:val="4"/>
                <w:szCs w:val="24"/>
                <w:lang w:eastAsia="zh-HK"/>
              </w:rPr>
            </w:pPr>
            <w:r>
              <w:rPr>
                <w:rFonts w:eastAsia="DFKai-SB" w:hint="eastAsia"/>
                <w:b/>
                <w:bCs/>
                <w:color w:val="231F20"/>
                <w:spacing w:val="4"/>
                <w:lang w:eastAsia="zh-HK"/>
              </w:rPr>
              <w:t>對股票期權計劃第十三章第二條作出的修訂</w:t>
            </w:r>
          </w:p>
        </w:tc>
      </w:tr>
      <w:tr w:rsidR="00043B15">
        <w:tc>
          <w:tcPr>
            <w:tcW w:w="4540" w:type="dxa"/>
          </w:tcPr>
          <w:p w:rsidR="00043B15" w:rsidRDefault="0066513B">
            <w:pPr>
              <w:pStyle w:val="PlainText"/>
              <w:snapToGrid w:val="0"/>
              <w:jc w:val="center"/>
              <w:rPr>
                <w:rFonts w:ascii="Times New Roman" w:eastAsia="DFKai-SB" w:hAnsi="Times New Roman"/>
                <w:b/>
                <w:bCs/>
                <w:color w:val="231F20"/>
                <w:spacing w:val="4"/>
                <w:szCs w:val="24"/>
                <w:lang w:eastAsia="zh-HK"/>
              </w:rPr>
            </w:pPr>
            <w:r>
              <w:rPr>
                <w:rFonts w:ascii="Times New Roman" w:eastAsia="DFKai-SB" w:hAnsi="Times New Roman" w:hint="eastAsia"/>
                <w:b/>
                <w:bCs/>
                <w:color w:val="231F20"/>
                <w:spacing w:val="4"/>
                <w:szCs w:val="24"/>
                <w:lang w:eastAsia="zh-HK"/>
              </w:rPr>
              <w:t>原文為：</w:t>
            </w:r>
          </w:p>
        </w:tc>
        <w:tc>
          <w:tcPr>
            <w:tcW w:w="4540" w:type="dxa"/>
          </w:tcPr>
          <w:p w:rsidR="00043B15" w:rsidRDefault="0066513B">
            <w:pPr>
              <w:pStyle w:val="PlainText"/>
              <w:snapToGrid w:val="0"/>
              <w:jc w:val="center"/>
              <w:rPr>
                <w:rFonts w:ascii="Times New Roman" w:eastAsia="DFKai-SB" w:hAnsi="Times New Roman"/>
                <w:b/>
                <w:bCs/>
                <w:color w:val="231F20"/>
                <w:spacing w:val="4"/>
                <w:szCs w:val="24"/>
                <w:lang w:eastAsia="zh-HK"/>
              </w:rPr>
            </w:pPr>
            <w:r>
              <w:rPr>
                <w:rFonts w:ascii="Times New Roman" w:eastAsia="DFKai-SB" w:hAnsi="Times New Roman" w:hint="eastAsia"/>
                <w:b/>
                <w:bCs/>
                <w:color w:val="231F20"/>
                <w:spacing w:val="4"/>
                <w:szCs w:val="24"/>
                <w:lang w:eastAsia="zh-HK"/>
              </w:rPr>
              <w:t>現修訂為：</w:t>
            </w:r>
          </w:p>
        </w:tc>
      </w:tr>
      <w:tr w:rsidR="00043B15">
        <w:tc>
          <w:tcPr>
            <w:tcW w:w="4540" w:type="dxa"/>
          </w:tcPr>
          <w:p w:rsidR="00043B15" w:rsidRDefault="0066513B">
            <w:pPr>
              <w:pStyle w:val="PlainText"/>
              <w:snapToGrid w:val="0"/>
              <w:jc w:val="both"/>
              <w:rPr>
                <w:rFonts w:ascii="Times New Roman" w:eastAsia="DFKai-SB" w:hAnsi="Times New Roman"/>
                <w:bCs/>
                <w:color w:val="231F20"/>
                <w:spacing w:val="4"/>
                <w:szCs w:val="24"/>
                <w:lang w:eastAsia="zh-HK"/>
              </w:rPr>
            </w:pPr>
            <w:r>
              <w:rPr>
                <w:rFonts w:ascii="Times New Roman" w:eastAsia="DFKai-SB" w:hAnsi="Times New Roman" w:hint="eastAsia"/>
                <w:bCs/>
                <w:color w:val="231F20"/>
                <w:spacing w:val="4"/>
                <w:szCs w:val="24"/>
                <w:lang w:eastAsia="zh-HK"/>
              </w:rPr>
              <w:t>第</w:t>
            </w:r>
            <w:r>
              <w:rPr>
                <w:rFonts w:ascii="Times New Roman" w:eastAsia="DFKai-SB" w:hAnsi="Times New Roman" w:hint="eastAsia"/>
                <w:bCs/>
                <w:color w:val="231F20"/>
                <w:spacing w:val="4"/>
                <w:szCs w:val="24"/>
              </w:rPr>
              <w:t>2</w:t>
            </w:r>
            <w:r>
              <w:rPr>
                <w:rFonts w:ascii="Times New Roman" w:eastAsia="DFKai-SB" w:hAnsi="Times New Roman" w:hint="eastAsia"/>
                <w:bCs/>
                <w:color w:val="231F20"/>
                <w:spacing w:val="4"/>
                <w:szCs w:val="24"/>
                <w:lang w:eastAsia="zh-HK"/>
              </w:rPr>
              <w:t>點</w:t>
            </w:r>
          </w:p>
          <w:p w:rsidR="00043B15" w:rsidRDefault="00043B15">
            <w:pPr>
              <w:pStyle w:val="PlainText"/>
              <w:snapToGrid w:val="0"/>
              <w:jc w:val="both"/>
              <w:rPr>
                <w:rFonts w:ascii="Times New Roman" w:eastAsia="DFKai-SB" w:hAnsi="Times New Roman"/>
                <w:bCs/>
                <w:color w:val="231F20"/>
                <w:spacing w:val="4"/>
                <w:szCs w:val="24"/>
                <w:lang w:eastAsia="zh-HK"/>
              </w:rPr>
            </w:pPr>
          </w:p>
          <w:p w:rsidR="00043B15" w:rsidRDefault="0066513B">
            <w:pPr>
              <w:pStyle w:val="PlainText"/>
              <w:snapToGrid w:val="0"/>
              <w:jc w:val="both"/>
              <w:rPr>
                <w:rFonts w:ascii="Times New Roman" w:eastAsia="DFKai-SB" w:hAnsi="Times New Roman"/>
                <w:bCs/>
                <w:color w:val="231F20"/>
                <w:spacing w:val="4"/>
                <w:szCs w:val="24"/>
              </w:rPr>
            </w:pPr>
            <w:r>
              <w:rPr>
                <w:rFonts w:ascii="Times New Roman" w:eastAsia="DFKai-SB" w:hAnsi="Times New Roman" w:hint="eastAsia"/>
                <w:bCs/>
                <w:color w:val="231F20"/>
                <w:spacing w:val="4"/>
                <w:szCs w:val="24"/>
              </w:rPr>
              <w:t>激勵對象因退休而離職，在情況發生之日，對激勵對象獲授的期權將完全按照退休前本計畫規定的程</w:t>
            </w:r>
            <w:r>
              <w:rPr>
                <w:rFonts w:ascii="Times New Roman" w:eastAsia="DFKai-SB" w:hAnsi="Times New Roman" w:hint="eastAsia"/>
                <w:bCs/>
                <w:color w:val="231F20"/>
                <w:spacing w:val="4"/>
                <w:szCs w:val="24"/>
                <w:lang w:eastAsia="zh-HK"/>
              </w:rPr>
              <w:t>序</w:t>
            </w:r>
            <w:r>
              <w:rPr>
                <w:rFonts w:ascii="Times New Roman" w:eastAsia="DFKai-SB" w:hAnsi="Times New Roman" w:hint="eastAsia"/>
                <w:bCs/>
                <w:color w:val="231F20"/>
                <w:spacing w:val="4"/>
                <w:szCs w:val="24"/>
              </w:rPr>
              <w:t>進行，且董事會可以決定其個人績效考核條件不再納入行權條件。</w:t>
            </w:r>
          </w:p>
          <w:p w:rsidR="00043B15" w:rsidRDefault="00043B15">
            <w:pPr>
              <w:pStyle w:val="PlainText"/>
              <w:snapToGrid w:val="0"/>
              <w:jc w:val="both"/>
              <w:rPr>
                <w:rFonts w:ascii="Times New Roman" w:eastAsia="DFKai-SB" w:hAnsi="Times New Roman"/>
                <w:bCs/>
                <w:color w:val="231F20"/>
                <w:spacing w:val="4"/>
                <w:szCs w:val="24"/>
                <w:lang w:eastAsia="zh-HK"/>
              </w:rPr>
            </w:pPr>
          </w:p>
        </w:tc>
        <w:tc>
          <w:tcPr>
            <w:tcW w:w="4540" w:type="dxa"/>
            <w:vMerge w:val="restart"/>
          </w:tcPr>
          <w:p w:rsidR="00043B15" w:rsidRDefault="0066513B">
            <w:pPr>
              <w:pStyle w:val="PlainText"/>
              <w:snapToGrid w:val="0"/>
              <w:jc w:val="both"/>
              <w:rPr>
                <w:rFonts w:ascii="Times New Roman" w:eastAsia="DFKai-SB" w:hAnsi="Times New Roman"/>
                <w:bCs/>
                <w:color w:val="231F20"/>
                <w:spacing w:val="4"/>
                <w:szCs w:val="24"/>
              </w:rPr>
            </w:pPr>
            <w:r>
              <w:rPr>
                <w:rFonts w:ascii="Times New Roman" w:eastAsia="DFKai-SB" w:hAnsi="Times New Roman" w:hint="eastAsia"/>
                <w:bCs/>
                <w:color w:val="231F20"/>
                <w:spacing w:val="4"/>
                <w:szCs w:val="24"/>
              </w:rPr>
              <w:t>以下任</w:t>
            </w:r>
            <w:proofErr w:type="gramStart"/>
            <w:r>
              <w:rPr>
                <w:rFonts w:ascii="Times New Roman" w:eastAsia="DFKai-SB" w:hAnsi="Times New Roman" w:hint="eastAsia"/>
                <w:bCs/>
                <w:color w:val="231F20"/>
                <w:spacing w:val="4"/>
                <w:szCs w:val="24"/>
              </w:rPr>
              <w:t>一</w:t>
            </w:r>
            <w:proofErr w:type="gramEnd"/>
            <w:r>
              <w:rPr>
                <w:rFonts w:ascii="Times New Roman" w:eastAsia="DFKai-SB" w:hAnsi="Times New Roman" w:hint="eastAsia"/>
                <w:bCs/>
                <w:color w:val="231F20"/>
                <w:spacing w:val="4"/>
                <w:szCs w:val="24"/>
              </w:rPr>
              <w:t>情形發生之日起六個月內，激勵對象當年已達到行權條件的股票期權可以行權；尚未達到行權條件的股票期權不得行權，由</w:t>
            </w:r>
            <w:r>
              <w:rPr>
                <w:rFonts w:ascii="Times New Roman" w:eastAsia="DFKai-SB" w:hAnsi="Times New Roman" w:hint="eastAsia"/>
                <w:bCs/>
                <w:color w:val="231F20"/>
                <w:spacing w:val="4"/>
                <w:szCs w:val="24"/>
                <w:lang w:eastAsia="zh-HK"/>
              </w:rPr>
              <w:t>本</w:t>
            </w:r>
            <w:r>
              <w:rPr>
                <w:rFonts w:ascii="Times New Roman" w:eastAsia="DFKai-SB" w:hAnsi="Times New Roman" w:hint="eastAsia"/>
                <w:bCs/>
                <w:color w:val="231F20"/>
                <w:spacing w:val="4"/>
                <w:szCs w:val="24"/>
              </w:rPr>
              <w:t>公司註銷：</w:t>
            </w:r>
          </w:p>
          <w:p w:rsidR="00043B15" w:rsidRDefault="00043B15">
            <w:pPr>
              <w:pStyle w:val="PlainText"/>
              <w:snapToGrid w:val="0"/>
              <w:jc w:val="both"/>
              <w:rPr>
                <w:rFonts w:ascii="Times New Roman" w:eastAsia="DFKai-SB" w:hAnsi="Times New Roman"/>
                <w:bCs/>
                <w:color w:val="231F20"/>
                <w:spacing w:val="4"/>
                <w:szCs w:val="24"/>
              </w:rPr>
            </w:pPr>
          </w:p>
          <w:p w:rsidR="00043B15" w:rsidRDefault="0066513B">
            <w:pPr>
              <w:pStyle w:val="PlainText"/>
              <w:numPr>
                <w:ilvl w:val="0"/>
                <w:numId w:val="1"/>
              </w:numPr>
              <w:snapToGrid w:val="0"/>
              <w:ind w:left="391"/>
              <w:jc w:val="both"/>
              <w:rPr>
                <w:rFonts w:ascii="Times New Roman" w:eastAsia="DFKai-SB" w:hAnsi="Times New Roman"/>
                <w:bCs/>
                <w:color w:val="231F20"/>
                <w:spacing w:val="4"/>
                <w:szCs w:val="24"/>
              </w:rPr>
            </w:pPr>
            <w:r>
              <w:rPr>
                <w:rFonts w:ascii="Times New Roman" w:eastAsia="DFKai-SB" w:hAnsi="Times New Roman" w:hint="eastAsia"/>
                <w:bCs/>
                <w:color w:val="231F20"/>
                <w:spacing w:val="4"/>
                <w:szCs w:val="24"/>
              </w:rPr>
              <w:t>激勵對象達到法定退休年齡時；</w:t>
            </w:r>
          </w:p>
          <w:p w:rsidR="00043B15" w:rsidRDefault="00043B15">
            <w:pPr>
              <w:pStyle w:val="PlainText"/>
              <w:snapToGrid w:val="0"/>
              <w:ind w:left="720"/>
              <w:jc w:val="both"/>
              <w:rPr>
                <w:rFonts w:ascii="Times New Roman" w:eastAsia="DFKai-SB" w:hAnsi="Times New Roman"/>
                <w:bCs/>
                <w:color w:val="231F20"/>
                <w:spacing w:val="4"/>
                <w:szCs w:val="24"/>
              </w:rPr>
            </w:pPr>
          </w:p>
          <w:p w:rsidR="00043B15" w:rsidRDefault="0066513B">
            <w:pPr>
              <w:pStyle w:val="PlainText"/>
              <w:numPr>
                <w:ilvl w:val="0"/>
                <w:numId w:val="1"/>
              </w:numPr>
              <w:snapToGrid w:val="0"/>
              <w:ind w:left="391" w:hanging="270"/>
              <w:jc w:val="both"/>
              <w:rPr>
                <w:rFonts w:ascii="Times New Roman" w:eastAsia="DFKai-SB" w:hAnsi="Times New Roman"/>
                <w:bCs/>
                <w:color w:val="231F20"/>
                <w:spacing w:val="4"/>
                <w:szCs w:val="24"/>
              </w:rPr>
            </w:pPr>
            <w:r>
              <w:rPr>
                <w:rFonts w:ascii="Times New Roman" w:eastAsia="DFKai-SB" w:hAnsi="Times New Roman" w:hint="eastAsia"/>
                <w:bCs/>
                <w:color w:val="231F20"/>
                <w:spacing w:val="4"/>
                <w:szCs w:val="24"/>
              </w:rPr>
              <w:t>激勵對象因組織安排調離</w:t>
            </w:r>
            <w:r>
              <w:rPr>
                <w:rFonts w:ascii="Times New Roman" w:eastAsia="DFKai-SB" w:hAnsi="Times New Roman" w:hint="eastAsia"/>
                <w:bCs/>
                <w:color w:val="231F20"/>
                <w:spacing w:val="4"/>
                <w:szCs w:val="24"/>
                <w:lang w:eastAsia="zh-HK"/>
              </w:rPr>
              <w:t>本</w:t>
            </w:r>
            <w:r>
              <w:rPr>
                <w:rFonts w:ascii="Times New Roman" w:eastAsia="DFKai-SB" w:hAnsi="Times New Roman" w:hint="eastAsia"/>
                <w:bCs/>
                <w:color w:val="231F20"/>
                <w:spacing w:val="4"/>
                <w:szCs w:val="24"/>
              </w:rPr>
              <w:t>公司且不在</w:t>
            </w:r>
            <w:r>
              <w:rPr>
                <w:rFonts w:ascii="Times New Roman" w:eastAsia="DFKai-SB" w:hAnsi="Times New Roman" w:hint="eastAsia"/>
                <w:bCs/>
                <w:color w:val="231F20"/>
                <w:spacing w:val="4"/>
                <w:szCs w:val="24"/>
                <w:lang w:eastAsia="zh-HK"/>
              </w:rPr>
              <w:t>本</w:t>
            </w:r>
            <w:r>
              <w:rPr>
                <w:rFonts w:ascii="Times New Roman" w:eastAsia="DFKai-SB" w:hAnsi="Times New Roman" w:hint="eastAsia"/>
                <w:bCs/>
                <w:color w:val="231F20"/>
                <w:spacing w:val="4"/>
                <w:szCs w:val="24"/>
              </w:rPr>
              <w:t>公司任職時；</w:t>
            </w:r>
          </w:p>
          <w:p w:rsidR="00043B15" w:rsidRDefault="00043B15">
            <w:pPr>
              <w:pStyle w:val="ListParagraph3"/>
              <w:rPr>
                <w:rFonts w:eastAsia="DFKai-SB"/>
                <w:bCs/>
                <w:color w:val="231F20"/>
                <w:spacing w:val="4"/>
              </w:rPr>
            </w:pPr>
          </w:p>
          <w:p w:rsidR="00043B15" w:rsidRDefault="0066513B">
            <w:pPr>
              <w:pStyle w:val="PlainText"/>
              <w:numPr>
                <w:ilvl w:val="0"/>
                <w:numId w:val="1"/>
              </w:numPr>
              <w:snapToGrid w:val="0"/>
              <w:ind w:left="391" w:hanging="270"/>
              <w:jc w:val="both"/>
              <w:rPr>
                <w:rFonts w:ascii="Times New Roman" w:eastAsia="DFKai-SB" w:hAnsi="Times New Roman"/>
                <w:bCs/>
                <w:color w:val="231F20"/>
                <w:spacing w:val="4"/>
                <w:szCs w:val="24"/>
              </w:rPr>
            </w:pPr>
            <w:r>
              <w:rPr>
                <w:rFonts w:ascii="Times New Roman" w:eastAsia="DFKai-SB" w:hAnsi="Times New Roman" w:hint="eastAsia"/>
                <w:bCs/>
                <w:color w:val="231F20"/>
                <w:spacing w:val="4"/>
                <w:szCs w:val="24"/>
              </w:rPr>
              <w:t>激勵對象死亡時（由其法定繼承人按</w:t>
            </w:r>
            <w:r w:rsidRPr="00847D1B">
              <w:rPr>
                <w:rFonts w:ascii="Times New Roman" w:eastAsia="DFKai-SB" w:hAnsi="Times New Roman" w:hint="eastAsia"/>
                <w:bCs/>
                <w:color w:val="231F20"/>
                <w:spacing w:val="4"/>
                <w:szCs w:val="24"/>
              </w:rPr>
              <w:t>規定</w:t>
            </w:r>
            <w:r>
              <w:rPr>
                <w:rFonts w:ascii="Times New Roman" w:eastAsia="DFKai-SB" w:hAnsi="Times New Roman" w:hint="eastAsia"/>
                <w:bCs/>
                <w:color w:val="231F20"/>
                <w:spacing w:val="4"/>
                <w:szCs w:val="24"/>
              </w:rPr>
              <w:t>行權）；</w:t>
            </w:r>
          </w:p>
          <w:p w:rsidR="00043B15" w:rsidRDefault="00043B15" w:rsidP="00B1587A">
            <w:pPr>
              <w:pStyle w:val="ListParagraph3"/>
              <w:ind w:left="0"/>
              <w:rPr>
                <w:rFonts w:eastAsia="DFKai-SB"/>
                <w:bCs/>
                <w:color w:val="231F20"/>
                <w:spacing w:val="4"/>
              </w:rPr>
            </w:pPr>
          </w:p>
          <w:p w:rsidR="00043B15" w:rsidRDefault="0066513B">
            <w:pPr>
              <w:pStyle w:val="PlainText"/>
              <w:numPr>
                <w:ilvl w:val="0"/>
                <w:numId w:val="1"/>
              </w:numPr>
              <w:snapToGrid w:val="0"/>
              <w:ind w:left="391" w:hanging="270"/>
              <w:jc w:val="both"/>
              <w:rPr>
                <w:rFonts w:ascii="Times New Roman" w:eastAsia="DFKai-SB" w:hAnsi="Times New Roman"/>
                <w:bCs/>
                <w:color w:val="231F20"/>
                <w:spacing w:val="4"/>
                <w:szCs w:val="24"/>
              </w:rPr>
            </w:pPr>
            <w:r>
              <w:rPr>
                <w:rFonts w:ascii="Times New Roman" w:eastAsia="DFKai-SB" w:hAnsi="Times New Roman" w:hint="eastAsia"/>
                <w:bCs/>
                <w:color w:val="231F20"/>
                <w:spacing w:val="4"/>
                <w:szCs w:val="24"/>
              </w:rPr>
              <w:t>激勵對象喪失民事行為能力時；</w:t>
            </w:r>
          </w:p>
          <w:p w:rsidR="00043B15" w:rsidRDefault="00043B15">
            <w:pPr>
              <w:pStyle w:val="ListParagraph3"/>
              <w:rPr>
                <w:rFonts w:eastAsia="DFKai-SB"/>
                <w:bCs/>
                <w:color w:val="231F20"/>
                <w:spacing w:val="4"/>
              </w:rPr>
            </w:pPr>
          </w:p>
          <w:p w:rsidR="00043B15" w:rsidRDefault="0066513B">
            <w:pPr>
              <w:pStyle w:val="PlainText"/>
              <w:numPr>
                <w:ilvl w:val="0"/>
                <w:numId w:val="1"/>
              </w:numPr>
              <w:snapToGrid w:val="0"/>
              <w:ind w:left="391" w:hanging="270"/>
              <w:jc w:val="both"/>
              <w:rPr>
                <w:rFonts w:ascii="Times New Roman" w:eastAsia="DFKai-SB" w:hAnsi="Times New Roman"/>
                <w:bCs/>
                <w:color w:val="231F20"/>
                <w:spacing w:val="4"/>
                <w:szCs w:val="24"/>
              </w:rPr>
            </w:pPr>
            <w:r>
              <w:rPr>
                <w:rFonts w:ascii="Times New Roman" w:eastAsia="DFKai-SB" w:hAnsi="Times New Roman" w:hint="eastAsia"/>
                <w:bCs/>
                <w:color w:val="231F20"/>
                <w:spacing w:val="4"/>
                <w:szCs w:val="24"/>
              </w:rPr>
              <w:t>激勵對象並非由於不能勝任工作崗位、業績考核不合格、過失、違法違規等原因而被</w:t>
            </w:r>
            <w:r>
              <w:rPr>
                <w:rFonts w:ascii="Times New Roman" w:eastAsia="DFKai-SB" w:hAnsi="Times New Roman" w:hint="eastAsia"/>
                <w:bCs/>
                <w:color w:val="231F20"/>
                <w:spacing w:val="4"/>
                <w:szCs w:val="24"/>
                <w:lang w:eastAsia="zh-HK"/>
              </w:rPr>
              <w:t>本</w:t>
            </w:r>
            <w:r>
              <w:rPr>
                <w:rFonts w:ascii="Times New Roman" w:eastAsia="DFKai-SB" w:hAnsi="Times New Roman" w:hint="eastAsia"/>
                <w:bCs/>
                <w:color w:val="231F20"/>
                <w:spacing w:val="4"/>
                <w:szCs w:val="24"/>
              </w:rPr>
              <w:t>公司辭退時。</w:t>
            </w:r>
          </w:p>
          <w:p w:rsidR="00043B15" w:rsidRDefault="00043B15">
            <w:pPr>
              <w:pStyle w:val="PlainText"/>
              <w:snapToGrid w:val="0"/>
              <w:jc w:val="both"/>
              <w:rPr>
                <w:rFonts w:ascii="Times New Roman" w:eastAsia="DFKai-SB" w:hAnsi="Times New Roman"/>
                <w:bCs/>
                <w:color w:val="231F20"/>
                <w:spacing w:val="4"/>
                <w:szCs w:val="24"/>
              </w:rPr>
            </w:pPr>
          </w:p>
          <w:p w:rsidR="00043B15" w:rsidRDefault="00043B15">
            <w:pPr>
              <w:pStyle w:val="PlainText"/>
              <w:snapToGrid w:val="0"/>
              <w:jc w:val="both"/>
              <w:rPr>
                <w:rFonts w:ascii="Times New Roman" w:eastAsia="DFKai-SB" w:hAnsi="Times New Roman"/>
                <w:bCs/>
                <w:color w:val="231F20"/>
                <w:spacing w:val="4"/>
                <w:szCs w:val="24"/>
                <w:lang w:eastAsia="zh-HK"/>
              </w:rPr>
            </w:pPr>
          </w:p>
        </w:tc>
      </w:tr>
      <w:tr w:rsidR="00043B15">
        <w:tc>
          <w:tcPr>
            <w:tcW w:w="4540" w:type="dxa"/>
          </w:tcPr>
          <w:p w:rsidR="00043B15" w:rsidRDefault="0066513B">
            <w:pPr>
              <w:pStyle w:val="PlainText"/>
              <w:snapToGrid w:val="0"/>
              <w:jc w:val="both"/>
              <w:rPr>
                <w:rFonts w:ascii="Times New Roman" w:eastAsia="DFKai-SB" w:hAnsi="Times New Roman"/>
                <w:bCs/>
                <w:color w:val="231F20"/>
                <w:spacing w:val="4"/>
                <w:szCs w:val="24"/>
                <w:lang w:eastAsia="zh-HK"/>
              </w:rPr>
            </w:pPr>
            <w:r>
              <w:rPr>
                <w:rFonts w:ascii="Times New Roman" w:eastAsia="DFKai-SB" w:hAnsi="Times New Roman" w:hint="eastAsia"/>
                <w:bCs/>
                <w:color w:val="231F20"/>
                <w:spacing w:val="4"/>
                <w:szCs w:val="24"/>
                <w:lang w:eastAsia="zh-HK"/>
              </w:rPr>
              <w:t>第</w:t>
            </w:r>
            <w:r>
              <w:rPr>
                <w:rFonts w:ascii="Times New Roman" w:eastAsia="DFKai-SB" w:hAnsi="Times New Roman" w:hint="eastAsia"/>
                <w:bCs/>
                <w:color w:val="231F20"/>
                <w:spacing w:val="4"/>
                <w:szCs w:val="24"/>
              </w:rPr>
              <w:t>5</w:t>
            </w:r>
            <w:r>
              <w:rPr>
                <w:rFonts w:ascii="Times New Roman" w:eastAsia="DFKai-SB" w:hAnsi="Times New Roman" w:hint="eastAsia"/>
                <w:bCs/>
                <w:color w:val="231F20"/>
                <w:spacing w:val="4"/>
                <w:szCs w:val="24"/>
                <w:lang w:eastAsia="zh-HK"/>
              </w:rPr>
              <w:t>點</w:t>
            </w:r>
          </w:p>
          <w:p w:rsidR="00043B15" w:rsidRDefault="00043B15">
            <w:pPr>
              <w:pStyle w:val="PlainText"/>
              <w:snapToGrid w:val="0"/>
              <w:jc w:val="both"/>
              <w:rPr>
                <w:rFonts w:ascii="Times New Roman" w:eastAsia="DFKai-SB" w:hAnsi="Times New Roman"/>
                <w:bCs/>
                <w:color w:val="231F20"/>
                <w:spacing w:val="4"/>
                <w:szCs w:val="24"/>
                <w:lang w:eastAsia="zh-HK"/>
              </w:rPr>
            </w:pPr>
          </w:p>
          <w:p w:rsidR="00043B15" w:rsidRDefault="0066513B">
            <w:pPr>
              <w:pStyle w:val="PlainText"/>
              <w:snapToGrid w:val="0"/>
              <w:jc w:val="both"/>
              <w:rPr>
                <w:rFonts w:ascii="Times New Roman" w:eastAsia="DFKai-SB" w:hAnsi="Times New Roman"/>
                <w:bCs/>
                <w:color w:val="231F20"/>
                <w:spacing w:val="4"/>
                <w:szCs w:val="24"/>
              </w:rPr>
            </w:pPr>
            <w:r>
              <w:rPr>
                <w:rFonts w:ascii="Times New Roman" w:eastAsia="DFKai-SB" w:hAnsi="Times New Roman" w:hint="eastAsia"/>
                <w:bCs/>
                <w:color w:val="231F20"/>
                <w:spacing w:val="4"/>
                <w:szCs w:val="24"/>
              </w:rPr>
              <w:t>激勵對象因喪失勞動能力而離職，應分以下兩種情況處理：</w:t>
            </w:r>
          </w:p>
          <w:p w:rsidR="00043B15" w:rsidRDefault="00043B15">
            <w:pPr>
              <w:pStyle w:val="PlainText"/>
              <w:snapToGrid w:val="0"/>
              <w:jc w:val="both"/>
              <w:rPr>
                <w:rFonts w:ascii="Times New Roman" w:eastAsia="DFKai-SB" w:hAnsi="Times New Roman"/>
                <w:bCs/>
                <w:color w:val="231F20"/>
                <w:spacing w:val="4"/>
                <w:szCs w:val="24"/>
              </w:rPr>
            </w:pPr>
          </w:p>
          <w:p w:rsidR="00043B15" w:rsidRDefault="0066513B">
            <w:pPr>
              <w:pStyle w:val="PlainText"/>
              <w:numPr>
                <w:ilvl w:val="0"/>
                <w:numId w:val="2"/>
              </w:numPr>
              <w:snapToGrid w:val="0"/>
              <w:ind w:left="427"/>
              <w:jc w:val="both"/>
              <w:rPr>
                <w:rFonts w:ascii="Times New Roman" w:eastAsia="DFKai-SB" w:hAnsi="Times New Roman"/>
                <w:bCs/>
                <w:color w:val="231F20"/>
                <w:spacing w:val="4"/>
                <w:szCs w:val="24"/>
                <w:lang w:eastAsia="zh-HK"/>
              </w:rPr>
            </w:pPr>
            <w:r>
              <w:rPr>
                <w:rFonts w:ascii="Times New Roman" w:eastAsia="DFKai-SB" w:hAnsi="Times New Roman" w:hint="eastAsia"/>
                <w:bCs/>
                <w:color w:val="231F20"/>
                <w:spacing w:val="4"/>
                <w:szCs w:val="24"/>
              </w:rPr>
              <w:t>當激勵對象因工傷喪失勞動能力而離職時，在情況發生之日，期權將完全按照喪失勞動能力前本計畫規定的程</w:t>
            </w:r>
            <w:r>
              <w:rPr>
                <w:rFonts w:ascii="Times New Roman" w:eastAsia="DFKai-SB" w:hAnsi="Times New Roman" w:hint="eastAsia"/>
                <w:bCs/>
                <w:color w:val="231F20"/>
                <w:spacing w:val="4"/>
                <w:szCs w:val="24"/>
                <w:lang w:eastAsia="zh-HK"/>
              </w:rPr>
              <w:t>序</w:t>
            </w:r>
            <w:r>
              <w:rPr>
                <w:rFonts w:ascii="Times New Roman" w:eastAsia="DFKai-SB" w:hAnsi="Times New Roman" w:hint="eastAsia"/>
                <w:bCs/>
                <w:color w:val="231F20"/>
                <w:spacing w:val="4"/>
                <w:szCs w:val="24"/>
              </w:rPr>
              <w:t>進行，且董事會可以決定其個人績效考核條件不再納入行權條件；</w:t>
            </w:r>
          </w:p>
          <w:p w:rsidR="00043B15" w:rsidRDefault="00043B15">
            <w:pPr>
              <w:pStyle w:val="PlainText"/>
              <w:snapToGrid w:val="0"/>
              <w:ind w:left="427"/>
              <w:jc w:val="both"/>
              <w:rPr>
                <w:rFonts w:ascii="Times New Roman" w:eastAsia="DFKai-SB" w:hAnsi="Times New Roman"/>
                <w:bCs/>
                <w:color w:val="231F20"/>
                <w:spacing w:val="4"/>
                <w:szCs w:val="24"/>
                <w:lang w:eastAsia="zh-HK"/>
              </w:rPr>
            </w:pPr>
          </w:p>
          <w:p w:rsidR="00043B15" w:rsidRDefault="0066513B">
            <w:pPr>
              <w:pStyle w:val="PlainText"/>
              <w:numPr>
                <w:ilvl w:val="0"/>
                <w:numId w:val="2"/>
              </w:numPr>
              <w:snapToGrid w:val="0"/>
              <w:ind w:left="427"/>
              <w:jc w:val="both"/>
              <w:rPr>
                <w:rFonts w:ascii="Times New Roman" w:eastAsia="DFKai-SB" w:hAnsi="Times New Roman"/>
                <w:bCs/>
                <w:color w:val="231F20"/>
                <w:spacing w:val="4"/>
                <w:szCs w:val="24"/>
                <w:lang w:eastAsia="zh-HK"/>
              </w:rPr>
            </w:pPr>
            <w:r>
              <w:rPr>
                <w:rFonts w:ascii="Times New Roman" w:eastAsia="DFKai-SB" w:hAnsi="Times New Roman" w:hint="eastAsia"/>
                <w:bCs/>
                <w:color w:val="231F20"/>
                <w:spacing w:val="4"/>
                <w:szCs w:val="24"/>
              </w:rPr>
              <w:t>當激勵對象非因工傷喪失勞動能力而離職時，在情況發生之日，根據本計畫已</w:t>
            </w:r>
            <w:proofErr w:type="gramStart"/>
            <w:r>
              <w:rPr>
                <w:rFonts w:ascii="Times New Roman" w:eastAsia="DFKai-SB" w:hAnsi="Times New Roman" w:hint="eastAsia"/>
                <w:bCs/>
                <w:color w:val="231F20"/>
                <w:spacing w:val="4"/>
                <w:szCs w:val="24"/>
              </w:rPr>
              <w:t>獲授但尚未</w:t>
            </w:r>
            <w:proofErr w:type="gramEnd"/>
            <w:r>
              <w:rPr>
                <w:rFonts w:ascii="Times New Roman" w:eastAsia="DFKai-SB" w:hAnsi="Times New Roman" w:hint="eastAsia"/>
                <w:bCs/>
                <w:color w:val="231F20"/>
                <w:spacing w:val="4"/>
                <w:szCs w:val="24"/>
              </w:rPr>
              <w:t>行權的期權作廢。</w:t>
            </w:r>
          </w:p>
          <w:p w:rsidR="00043B15" w:rsidRDefault="00043B15">
            <w:pPr>
              <w:pStyle w:val="PlainText"/>
              <w:snapToGrid w:val="0"/>
              <w:ind w:left="427"/>
              <w:jc w:val="both"/>
              <w:rPr>
                <w:rFonts w:ascii="Times New Roman" w:eastAsia="DFKai-SB" w:hAnsi="Times New Roman"/>
                <w:bCs/>
                <w:color w:val="231F20"/>
                <w:spacing w:val="4"/>
                <w:szCs w:val="24"/>
                <w:lang w:eastAsia="zh-HK"/>
              </w:rPr>
            </w:pPr>
          </w:p>
        </w:tc>
        <w:tc>
          <w:tcPr>
            <w:tcW w:w="4540" w:type="dxa"/>
            <w:vMerge/>
          </w:tcPr>
          <w:p w:rsidR="00043B15" w:rsidRDefault="00043B15">
            <w:pPr>
              <w:pStyle w:val="PlainText"/>
              <w:snapToGrid w:val="0"/>
              <w:jc w:val="both"/>
              <w:rPr>
                <w:rFonts w:ascii="Times New Roman" w:eastAsia="DFKai-SB" w:hAnsi="Times New Roman"/>
                <w:bCs/>
                <w:color w:val="231F20"/>
                <w:spacing w:val="4"/>
                <w:szCs w:val="24"/>
                <w:lang w:eastAsia="zh-HK"/>
              </w:rPr>
            </w:pPr>
          </w:p>
        </w:tc>
      </w:tr>
      <w:tr w:rsidR="00043B15">
        <w:tc>
          <w:tcPr>
            <w:tcW w:w="4540" w:type="dxa"/>
          </w:tcPr>
          <w:p w:rsidR="00043B15" w:rsidRDefault="0066513B">
            <w:pPr>
              <w:pStyle w:val="PlainText"/>
              <w:snapToGrid w:val="0"/>
              <w:jc w:val="both"/>
              <w:rPr>
                <w:rFonts w:ascii="Times New Roman" w:eastAsia="DFKai-SB" w:hAnsi="Times New Roman"/>
                <w:bCs/>
                <w:color w:val="231F20"/>
                <w:spacing w:val="4"/>
                <w:szCs w:val="24"/>
                <w:lang w:eastAsia="zh-HK"/>
              </w:rPr>
            </w:pPr>
            <w:r>
              <w:rPr>
                <w:rFonts w:ascii="Times New Roman" w:eastAsia="DFKai-SB" w:hAnsi="Times New Roman" w:hint="eastAsia"/>
                <w:bCs/>
                <w:color w:val="231F20"/>
                <w:spacing w:val="4"/>
                <w:szCs w:val="24"/>
                <w:lang w:eastAsia="zh-HK"/>
              </w:rPr>
              <w:t>第</w:t>
            </w:r>
            <w:r>
              <w:rPr>
                <w:rFonts w:ascii="Times New Roman" w:eastAsia="DFKai-SB" w:hAnsi="Times New Roman" w:hint="eastAsia"/>
                <w:bCs/>
                <w:color w:val="231F20"/>
                <w:spacing w:val="4"/>
                <w:szCs w:val="24"/>
              </w:rPr>
              <w:t>6</w:t>
            </w:r>
            <w:r>
              <w:rPr>
                <w:rFonts w:ascii="Times New Roman" w:eastAsia="DFKai-SB" w:hAnsi="Times New Roman" w:hint="eastAsia"/>
                <w:bCs/>
                <w:color w:val="231F20"/>
                <w:spacing w:val="4"/>
                <w:szCs w:val="24"/>
                <w:lang w:eastAsia="zh-HK"/>
              </w:rPr>
              <w:t>點</w:t>
            </w:r>
          </w:p>
          <w:p w:rsidR="00043B15" w:rsidRDefault="00043B15">
            <w:pPr>
              <w:pStyle w:val="PlainText"/>
              <w:snapToGrid w:val="0"/>
              <w:jc w:val="both"/>
              <w:rPr>
                <w:rFonts w:ascii="Times New Roman" w:eastAsia="DFKai-SB" w:hAnsi="Times New Roman"/>
                <w:bCs/>
                <w:color w:val="231F20"/>
                <w:spacing w:val="4"/>
                <w:szCs w:val="24"/>
                <w:lang w:eastAsia="zh-HK"/>
              </w:rPr>
            </w:pPr>
          </w:p>
          <w:p w:rsidR="00043B15" w:rsidRDefault="0066513B">
            <w:pPr>
              <w:pStyle w:val="PlainText"/>
              <w:snapToGrid w:val="0"/>
              <w:jc w:val="both"/>
              <w:rPr>
                <w:rFonts w:ascii="Times New Roman" w:eastAsia="DFKai-SB" w:hAnsi="Times New Roman"/>
                <w:bCs/>
                <w:color w:val="231F20"/>
                <w:spacing w:val="4"/>
                <w:szCs w:val="24"/>
              </w:rPr>
            </w:pPr>
            <w:r>
              <w:rPr>
                <w:rFonts w:ascii="Times New Roman" w:eastAsia="DFKai-SB" w:hAnsi="Times New Roman" w:hint="eastAsia"/>
                <w:bCs/>
                <w:color w:val="231F20"/>
                <w:spacing w:val="4"/>
                <w:szCs w:val="24"/>
              </w:rPr>
              <w:t>激勵對象身故，應分以下兩種情況處理：</w:t>
            </w:r>
          </w:p>
          <w:p w:rsidR="00043B15" w:rsidRDefault="00043B15">
            <w:pPr>
              <w:pStyle w:val="PlainText"/>
              <w:snapToGrid w:val="0"/>
              <w:jc w:val="both"/>
              <w:rPr>
                <w:rFonts w:ascii="Times New Roman" w:eastAsia="DFKai-SB" w:hAnsi="Times New Roman"/>
                <w:bCs/>
                <w:color w:val="231F20"/>
                <w:spacing w:val="4"/>
                <w:szCs w:val="24"/>
              </w:rPr>
            </w:pPr>
          </w:p>
          <w:p w:rsidR="00043B15" w:rsidRDefault="0066513B">
            <w:pPr>
              <w:pStyle w:val="PlainText"/>
              <w:numPr>
                <w:ilvl w:val="0"/>
                <w:numId w:val="3"/>
              </w:numPr>
              <w:snapToGrid w:val="0"/>
              <w:ind w:left="427" w:hanging="427"/>
              <w:jc w:val="both"/>
              <w:rPr>
                <w:rFonts w:ascii="Times New Roman" w:eastAsia="DFKai-SB" w:hAnsi="Times New Roman"/>
                <w:bCs/>
                <w:color w:val="231F20"/>
                <w:spacing w:val="4"/>
                <w:szCs w:val="24"/>
                <w:lang w:eastAsia="zh-HK"/>
              </w:rPr>
            </w:pPr>
            <w:r>
              <w:rPr>
                <w:rFonts w:ascii="Times New Roman" w:eastAsia="DFKai-SB" w:hAnsi="Times New Roman" w:hint="eastAsia"/>
                <w:bCs/>
                <w:color w:val="231F20"/>
                <w:spacing w:val="4"/>
                <w:szCs w:val="24"/>
              </w:rPr>
              <w:t>當激勵對象若因執行職務身故的，在情況發生之日，期權將由其指定的財產繼承人或法定繼承人代為持有，並按照身故前本計畫規定的程</w:t>
            </w:r>
            <w:r>
              <w:rPr>
                <w:rFonts w:ascii="Times New Roman" w:eastAsia="DFKai-SB" w:hAnsi="Times New Roman" w:hint="eastAsia"/>
                <w:bCs/>
                <w:color w:val="231F20"/>
                <w:spacing w:val="4"/>
                <w:szCs w:val="24"/>
                <w:lang w:eastAsia="zh-HK"/>
              </w:rPr>
              <w:t>序</w:t>
            </w:r>
            <w:r>
              <w:rPr>
                <w:rFonts w:ascii="Times New Roman" w:eastAsia="DFKai-SB" w:hAnsi="Times New Roman" w:hint="eastAsia"/>
                <w:bCs/>
                <w:color w:val="231F20"/>
                <w:spacing w:val="4"/>
                <w:szCs w:val="24"/>
              </w:rPr>
              <w:t>進行，且董事會可以決定其個人績效考核條件不再納入行權條件。</w:t>
            </w:r>
          </w:p>
          <w:p w:rsidR="00043B15" w:rsidRDefault="00043B15">
            <w:pPr>
              <w:pStyle w:val="PlainText"/>
              <w:snapToGrid w:val="0"/>
              <w:ind w:left="427"/>
              <w:jc w:val="both"/>
              <w:rPr>
                <w:rFonts w:ascii="Times New Roman" w:eastAsia="DFKai-SB" w:hAnsi="Times New Roman"/>
                <w:bCs/>
                <w:color w:val="231F20"/>
                <w:spacing w:val="4"/>
                <w:szCs w:val="24"/>
                <w:lang w:eastAsia="zh-HK"/>
              </w:rPr>
            </w:pPr>
          </w:p>
          <w:p w:rsidR="00043B15" w:rsidRDefault="0066513B">
            <w:pPr>
              <w:pStyle w:val="PlainText"/>
              <w:numPr>
                <w:ilvl w:val="0"/>
                <w:numId w:val="3"/>
              </w:numPr>
              <w:snapToGrid w:val="0"/>
              <w:ind w:left="427" w:hanging="427"/>
              <w:jc w:val="both"/>
              <w:rPr>
                <w:rFonts w:ascii="Times New Roman" w:eastAsia="DFKai-SB" w:hAnsi="Times New Roman"/>
                <w:bCs/>
                <w:color w:val="231F20"/>
                <w:spacing w:val="4"/>
                <w:szCs w:val="24"/>
                <w:lang w:eastAsia="zh-HK"/>
              </w:rPr>
            </w:pPr>
            <w:r>
              <w:rPr>
                <w:rFonts w:ascii="Times New Roman" w:eastAsia="DFKai-SB" w:hAnsi="Times New Roman" w:hint="eastAsia"/>
                <w:bCs/>
                <w:color w:val="231F20"/>
                <w:spacing w:val="4"/>
                <w:szCs w:val="24"/>
              </w:rPr>
              <w:t>因其他原因身故的，在情況發生之日，已</w:t>
            </w:r>
            <w:proofErr w:type="gramStart"/>
            <w:r>
              <w:rPr>
                <w:rFonts w:ascii="Times New Roman" w:eastAsia="DFKai-SB" w:hAnsi="Times New Roman" w:hint="eastAsia"/>
                <w:bCs/>
                <w:color w:val="231F20"/>
                <w:spacing w:val="4"/>
                <w:szCs w:val="24"/>
              </w:rPr>
              <w:t>獲授但尚未</w:t>
            </w:r>
            <w:proofErr w:type="gramEnd"/>
            <w:r>
              <w:rPr>
                <w:rFonts w:ascii="Times New Roman" w:eastAsia="DFKai-SB" w:hAnsi="Times New Roman" w:hint="eastAsia"/>
                <w:bCs/>
                <w:color w:val="231F20"/>
                <w:spacing w:val="4"/>
                <w:szCs w:val="24"/>
              </w:rPr>
              <w:t>行權的期權作廢。</w:t>
            </w:r>
          </w:p>
        </w:tc>
        <w:tc>
          <w:tcPr>
            <w:tcW w:w="4540" w:type="dxa"/>
            <w:vMerge/>
          </w:tcPr>
          <w:p w:rsidR="00043B15" w:rsidRDefault="00043B15">
            <w:pPr>
              <w:pStyle w:val="PlainText"/>
              <w:snapToGrid w:val="0"/>
              <w:jc w:val="both"/>
              <w:rPr>
                <w:rFonts w:ascii="Times New Roman" w:eastAsia="DFKai-SB" w:hAnsi="Times New Roman"/>
                <w:bCs/>
                <w:color w:val="231F20"/>
                <w:spacing w:val="4"/>
                <w:szCs w:val="24"/>
                <w:lang w:eastAsia="zh-HK"/>
              </w:rPr>
            </w:pPr>
          </w:p>
        </w:tc>
      </w:tr>
    </w:tbl>
    <w:p w:rsidR="00043B15" w:rsidRDefault="00043B15">
      <w:pPr>
        <w:pStyle w:val="PlainText"/>
        <w:snapToGrid w:val="0"/>
        <w:jc w:val="both"/>
        <w:rPr>
          <w:rFonts w:ascii="Times New Roman" w:eastAsia="DFKai-SB" w:hAnsi="Times New Roman"/>
          <w:bCs/>
          <w:color w:val="231F20"/>
          <w:spacing w:val="4"/>
          <w:szCs w:val="24"/>
          <w:lang w:eastAsia="zh-HK"/>
        </w:rPr>
      </w:pPr>
    </w:p>
    <w:p w:rsidR="00043B15" w:rsidRDefault="0066513B">
      <w:pPr>
        <w:pStyle w:val="PlainText"/>
        <w:snapToGrid w:val="0"/>
        <w:jc w:val="both"/>
        <w:rPr>
          <w:rFonts w:ascii="Times New Roman" w:eastAsia="DFKai-SB" w:hAnsi="Times New Roman"/>
          <w:bCs/>
          <w:color w:val="231F20"/>
          <w:spacing w:val="4"/>
          <w:szCs w:val="24"/>
          <w:lang w:eastAsia="zh-HK"/>
        </w:rPr>
      </w:pPr>
      <w:r>
        <w:rPr>
          <w:rFonts w:ascii="Times New Roman" w:eastAsia="DFKai-SB" w:hAnsi="Times New Roman" w:hint="eastAsia"/>
          <w:bCs/>
          <w:color w:val="231F20"/>
          <w:spacing w:val="4"/>
          <w:szCs w:val="24"/>
          <w:lang w:eastAsia="zh-HK"/>
        </w:rPr>
        <w:t>建議修訂之英文版本僅供參考。建議修訂之中英文版本如出現任何歧義，概以中文版本為</w:t>
      </w:r>
      <w:proofErr w:type="gramStart"/>
      <w:r>
        <w:rPr>
          <w:rFonts w:ascii="Times New Roman" w:eastAsia="DFKai-SB" w:hAnsi="Times New Roman" w:hint="eastAsia"/>
          <w:bCs/>
          <w:color w:val="231F20"/>
          <w:spacing w:val="4"/>
          <w:szCs w:val="24"/>
          <w:lang w:eastAsia="zh-HK"/>
        </w:rPr>
        <w:t>準</w:t>
      </w:r>
      <w:proofErr w:type="gramEnd"/>
      <w:r>
        <w:rPr>
          <w:rFonts w:ascii="Times New Roman" w:eastAsia="DFKai-SB" w:hAnsi="Times New Roman" w:hint="eastAsia"/>
          <w:bCs/>
          <w:color w:val="231F20"/>
          <w:spacing w:val="4"/>
          <w:szCs w:val="24"/>
          <w:lang w:eastAsia="zh-HK"/>
        </w:rPr>
        <w:t>。</w:t>
      </w:r>
    </w:p>
    <w:p w:rsidR="00043B15" w:rsidRDefault="00043B15">
      <w:pPr>
        <w:pStyle w:val="PlainText"/>
        <w:snapToGrid w:val="0"/>
        <w:jc w:val="both"/>
        <w:rPr>
          <w:rFonts w:ascii="Times New Roman" w:eastAsia="DFKai-SB" w:hAnsi="Times New Roman"/>
          <w:bCs/>
          <w:color w:val="231F20"/>
          <w:spacing w:val="4"/>
          <w:szCs w:val="24"/>
          <w:lang w:eastAsia="zh-HK"/>
        </w:rPr>
      </w:pPr>
    </w:p>
    <w:p w:rsidR="00043B15" w:rsidRDefault="0066513B">
      <w:pPr>
        <w:pStyle w:val="PlainText"/>
        <w:snapToGrid w:val="0"/>
        <w:jc w:val="both"/>
        <w:rPr>
          <w:rFonts w:ascii="Times New Roman" w:eastAsia="DFKai-SB" w:hAnsi="Times New Roman"/>
          <w:bCs/>
          <w:color w:val="231F20"/>
          <w:spacing w:val="4"/>
          <w:szCs w:val="24"/>
          <w:lang w:eastAsia="zh-HK"/>
        </w:rPr>
      </w:pPr>
      <w:r>
        <w:rPr>
          <w:rFonts w:ascii="Times New Roman" w:eastAsia="DFKai-SB" w:hAnsi="Times New Roman" w:hint="eastAsia"/>
          <w:bCs/>
          <w:color w:val="231F20"/>
          <w:spacing w:val="4"/>
          <w:szCs w:val="24"/>
          <w:lang w:eastAsia="zh-HK"/>
        </w:rPr>
        <w:t>除了</w:t>
      </w:r>
      <w:r>
        <w:rPr>
          <w:rFonts w:ascii="Times New Roman" w:eastAsia="DFKai-SB" w:hAnsi="Times New Roman" w:hint="eastAsia"/>
          <w:bCs/>
          <w:color w:val="231F20"/>
          <w:spacing w:val="4"/>
          <w:szCs w:val="24"/>
        </w:rPr>
        <w:t>建議</w:t>
      </w:r>
      <w:r>
        <w:rPr>
          <w:rFonts w:ascii="Times New Roman" w:eastAsia="DFKai-SB" w:hAnsi="Times New Roman" w:hint="eastAsia"/>
          <w:bCs/>
          <w:color w:val="231F20"/>
          <w:spacing w:val="4"/>
          <w:szCs w:val="24"/>
          <w:lang w:eastAsia="zh-HK"/>
        </w:rPr>
        <w:t>修訂，</w:t>
      </w:r>
      <w:r>
        <w:rPr>
          <w:rFonts w:ascii="Times New Roman" w:eastAsia="DFKai-SB" w:hAnsi="Times New Roman" w:hint="eastAsia"/>
          <w:bCs/>
          <w:color w:val="231F20"/>
          <w:spacing w:val="4"/>
          <w:szCs w:val="24"/>
        </w:rPr>
        <w:t>股票期權計劃</w:t>
      </w:r>
      <w:r>
        <w:rPr>
          <w:rFonts w:ascii="Times New Roman" w:eastAsia="DFKai-SB" w:hAnsi="Times New Roman" w:hint="eastAsia"/>
          <w:bCs/>
          <w:color w:val="231F20"/>
          <w:spacing w:val="4"/>
          <w:szCs w:val="24"/>
          <w:lang w:eastAsia="zh-HK"/>
        </w:rPr>
        <w:t>現有的其他條款保持不變。</w:t>
      </w:r>
    </w:p>
    <w:p w:rsidR="00043B15" w:rsidRDefault="00043B15">
      <w:pPr>
        <w:pStyle w:val="PlainText"/>
        <w:snapToGrid w:val="0"/>
        <w:jc w:val="both"/>
        <w:rPr>
          <w:rFonts w:ascii="Times New Roman" w:eastAsia="DFKai-SB" w:hAnsi="Times New Roman"/>
          <w:bCs/>
          <w:color w:val="231F20"/>
          <w:spacing w:val="4"/>
          <w:szCs w:val="24"/>
        </w:rPr>
      </w:pPr>
    </w:p>
    <w:p w:rsidR="00043B15" w:rsidRDefault="0066513B">
      <w:pPr>
        <w:pStyle w:val="PlainText"/>
        <w:snapToGrid w:val="0"/>
        <w:jc w:val="both"/>
        <w:rPr>
          <w:rFonts w:eastAsia="DFKai-SB"/>
          <w:bCs/>
          <w:i/>
          <w:color w:val="231F20"/>
          <w:spacing w:val="4"/>
        </w:rPr>
      </w:pPr>
      <w:r w:rsidRPr="00847D1B">
        <w:rPr>
          <w:rFonts w:ascii="Times New Roman" w:eastAsia="DFKai-SB" w:hAnsi="Times New Roman" w:hint="eastAsia"/>
          <w:bCs/>
          <w:color w:val="231F20"/>
          <w:spacing w:val="4"/>
          <w:szCs w:val="24"/>
        </w:rPr>
        <w:t>誠如本公司中國法律顧問所告知</w:t>
      </w:r>
      <w:r w:rsidRPr="00847D1B">
        <w:rPr>
          <w:rFonts w:ascii="Times New Roman" w:eastAsia="DFKai-SB" w:hAnsi="Times New Roman" w:hint="eastAsia"/>
          <w:bCs/>
          <w:color w:val="231F20"/>
          <w:spacing w:val="4"/>
          <w:szCs w:val="24"/>
          <w:lang w:eastAsia="zh-HK"/>
        </w:rPr>
        <w:t>，本次建議修訂符合</w:t>
      </w:r>
      <w:r w:rsidRPr="00847D1B">
        <w:rPr>
          <w:rFonts w:eastAsia="DFKai-SB" w:hint="eastAsia"/>
          <w:bCs/>
          <w:color w:val="231F20"/>
          <w:spacing w:val="4"/>
        </w:rPr>
        <w:t>《</w:t>
      </w:r>
      <w:r w:rsidRPr="00847D1B">
        <w:rPr>
          <w:rFonts w:ascii="Times New Roman" w:eastAsia="DFKai-SB" w:hAnsi="Times New Roman" w:hint="eastAsia"/>
          <w:bCs/>
          <w:color w:val="231F20"/>
          <w:spacing w:val="4"/>
          <w:szCs w:val="24"/>
        </w:rPr>
        <w:t>上市公司股權激勵管理辦法</w:t>
      </w:r>
      <w:r w:rsidRPr="00847D1B">
        <w:rPr>
          <w:rFonts w:eastAsia="DFKai-SB" w:hint="eastAsia"/>
          <w:bCs/>
          <w:color w:val="231F20"/>
          <w:spacing w:val="4"/>
        </w:rPr>
        <w:t>》、《國有控股上市公司</w:t>
      </w:r>
      <w:r w:rsidRPr="00847D1B">
        <w:rPr>
          <w:rFonts w:eastAsia="DFKai-SB"/>
          <w:bCs/>
          <w:color w:val="231F20"/>
          <w:spacing w:val="4"/>
        </w:rPr>
        <w:t>(</w:t>
      </w:r>
      <w:r w:rsidRPr="00847D1B">
        <w:rPr>
          <w:rFonts w:eastAsia="DFKai-SB" w:hint="eastAsia"/>
          <w:bCs/>
          <w:color w:val="231F20"/>
          <w:spacing w:val="4"/>
        </w:rPr>
        <w:t>境內</w:t>
      </w:r>
      <w:r w:rsidRPr="00847D1B">
        <w:rPr>
          <w:rFonts w:eastAsia="DFKai-SB"/>
          <w:bCs/>
          <w:color w:val="231F20"/>
          <w:spacing w:val="4"/>
        </w:rPr>
        <w:t>)</w:t>
      </w:r>
      <w:r w:rsidRPr="00847D1B">
        <w:rPr>
          <w:rFonts w:eastAsia="DFKai-SB" w:hint="eastAsia"/>
          <w:bCs/>
          <w:color w:val="231F20"/>
          <w:spacing w:val="4"/>
        </w:rPr>
        <w:t>實施股權激勵試行辦法》及</w:t>
      </w:r>
      <w:r w:rsidRPr="00847D1B">
        <w:rPr>
          <w:rFonts w:eastAsia="DFKai-SB" w:hint="eastAsia"/>
          <w:bCs/>
          <w:color w:val="231F20"/>
          <w:spacing w:val="4"/>
          <w:lang w:eastAsia="zh-HK"/>
        </w:rPr>
        <w:t>《關於規範國有控股上市公司實施股權激勵制度有關問題的通知》的規定</w:t>
      </w:r>
      <w:r w:rsidRPr="00847D1B">
        <w:rPr>
          <w:rFonts w:ascii="Times New Roman" w:eastAsia="DFKai-SB" w:hAnsi="Times New Roman" w:hint="eastAsia"/>
          <w:bCs/>
          <w:color w:val="231F20"/>
          <w:spacing w:val="4"/>
          <w:szCs w:val="24"/>
          <w:lang w:eastAsia="zh-HK"/>
        </w:rPr>
        <w:t>，</w:t>
      </w:r>
      <w:r w:rsidRPr="00847D1B">
        <w:rPr>
          <w:rFonts w:eastAsia="DFKai-SB" w:hint="eastAsia"/>
          <w:bCs/>
          <w:color w:val="231F20"/>
          <w:spacing w:val="4"/>
        </w:rPr>
        <w:t>不存在與法律、法規及規範性</w:t>
      </w:r>
      <w:r w:rsidRPr="00847D1B">
        <w:rPr>
          <w:rFonts w:eastAsia="DFKai-SB" w:hint="eastAsia"/>
          <w:bCs/>
          <w:color w:val="231F20"/>
          <w:spacing w:val="4"/>
          <w:lang w:eastAsia="zh-HK"/>
        </w:rPr>
        <w:t>文件</w:t>
      </w:r>
      <w:r w:rsidRPr="00847D1B">
        <w:rPr>
          <w:rFonts w:eastAsia="DFKai-SB" w:hint="eastAsia"/>
          <w:bCs/>
          <w:color w:val="231F20"/>
          <w:spacing w:val="4"/>
        </w:rPr>
        <w:t>相衝突的情形。</w:t>
      </w:r>
    </w:p>
    <w:p w:rsidR="00043B15" w:rsidRDefault="00043B15">
      <w:pPr>
        <w:pStyle w:val="PlainText"/>
        <w:snapToGrid w:val="0"/>
        <w:jc w:val="both"/>
        <w:rPr>
          <w:rFonts w:eastAsia="DFKai-SB"/>
          <w:bCs/>
          <w:i/>
          <w:color w:val="231F20"/>
          <w:spacing w:val="4"/>
        </w:rPr>
      </w:pPr>
    </w:p>
    <w:p w:rsidR="00043B15" w:rsidRDefault="0066513B">
      <w:pPr>
        <w:pStyle w:val="PlainText"/>
        <w:snapToGrid w:val="0"/>
        <w:jc w:val="both"/>
        <w:rPr>
          <w:rFonts w:ascii="Times New Roman" w:eastAsia="DFKai-SB" w:hAnsi="Times New Roman"/>
          <w:bCs/>
          <w:color w:val="231F20"/>
          <w:spacing w:val="4"/>
          <w:szCs w:val="24"/>
        </w:rPr>
      </w:pPr>
      <w:r>
        <w:rPr>
          <w:rFonts w:ascii="Times New Roman" w:eastAsia="DFKai-SB" w:hAnsi="Times New Roman" w:hint="eastAsia"/>
          <w:bCs/>
          <w:color w:val="231F20"/>
          <w:spacing w:val="4"/>
          <w:szCs w:val="24"/>
        </w:rPr>
        <w:t>擬議修訂將</w:t>
      </w:r>
      <w:r>
        <w:rPr>
          <w:rFonts w:ascii="Times New Roman" w:eastAsia="DFKai-SB" w:hAnsi="Times New Roman" w:hint="eastAsia"/>
          <w:bCs/>
          <w:color w:val="231F20"/>
          <w:spacing w:val="4"/>
          <w:szCs w:val="24"/>
          <w:lang w:eastAsia="zh-HK"/>
        </w:rPr>
        <w:t>在</w:t>
      </w:r>
      <w:r>
        <w:rPr>
          <w:rFonts w:ascii="Times New Roman" w:eastAsia="DFKai-SB" w:hAnsi="Times New Roman" w:hint="eastAsia"/>
          <w:bCs/>
          <w:color w:val="231F20"/>
          <w:spacing w:val="4"/>
          <w:szCs w:val="24"/>
        </w:rPr>
        <w:t>股東於本公司召開的臨時股東大會及</w:t>
      </w:r>
      <w:r>
        <w:rPr>
          <w:rFonts w:ascii="Times New Roman" w:eastAsia="DFKai-SB" w:hAnsi="Times New Roman" w:hint="eastAsia"/>
          <w:bCs/>
          <w:color w:val="231F20"/>
          <w:spacing w:val="4"/>
          <w:szCs w:val="24"/>
        </w:rPr>
        <w:t>H</w:t>
      </w:r>
      <w:r>
        <w:rPr>
          <w:rFonts w:ascii="Times New Roman" w:eastAsia="DFKai-SB" w:hAnsi="Times New Roman" w:hint="eastAsia"/>
          <w:bCs/>
          <w:color w:val="231F20"/>
          <w:spacing w:val="4"/>
          <w:szCs w:val="24"/>
        </w:rPr>
        <w:t>股類別股東會議上通過決議案之日起生效。</w:t>
      </w:r>
    </w:p>
    <w:p w:rsidR="00043B15" w:rsidRDefault="00043B15">
      <w:pPr>
        <w:pStyle w:val="PlainText"/>
        <w:snapToGrid w:val="0"/>
        <w:jc w:val="both"/>
        <w:rPr>
          <w:rFonts w:ascii="Times New Roman" w:eastAsia="DFKai-SB" w:hAnsi="Times New Roman"/>
          <w:bCs/>
          <w:color w:val="231F20"/>
          <w:spacing w:val="4"/>
          <w:szCs w:val="24"/>
        </w:rPr>
      </w:pPr>
    </w:p>
    <w:p w:rsidR="00043B15" w:rsidRDefault="0066513B">
      <w:pPr>
        <w:pStyle w:val="PlainText"/>
        <w:snapToGrid w:val="0"/>
        <w:jc w:val="both"/>
        <w:rPr>
          <w:rFonts w:ascii="Times New Roman" w:eastAsia="DFKai-SB" w:hAnsi="Times New Roman"/>
          <w:b/>
          <w:bCs/>
          <w:color w:val="231F20"/>
          <w:spacing w:val="4"/>
          <w:szCs w:val="24"/>
        </w:rPr>
      </w:pPr>
      <w:r>
        <w:rPr>
          <w:rFonts w:ascii="Times New Roman" w:eastAsia="DFKai-SB" w:hAnsi="Times New Roman" w:hint="eastAsia"/>
          <w:b/>
          <w:bCs/>
          <w:color w:val="231F20"/>
          <w:spacing w:val="4"/>
          <w:szCs w:val="24"/>
        </w:rPr>
        <w:t>上市規則</w:t>
      </w:r>
      <w:r>
        <w:rPr>
          <w:rFonts w:ascii="Times New Roman" w:eastAsia="DFKai-SB" w:hAnsi="Times New Roman" w:hint="eastAsia"/>
          <w:b/>
          <w:bCs/>
          <w:color w:val="231F20"/>
          <w:spacing w:val="4"/>
          <w:szCs w:val="24"/>
          <w:lang w:eastAsia="zh-HK"/>
        </w:rPr>
        <w:t>項下</w:t>
      </w:r>
      <w:r>
        <w:rPr>
          <w:rFonts w:ascii="Times New Roman" w:eastAsia="DFKai-SB" w:hAnsi="Times New Roman" w:hint="eastAsia"/>
          <w:b/>
          <w:bCs/>
          <w:color w:val="231F20"/>
          <w:spacing w:val="4"/>
          <w:szCs w:val="24"/>
        </w:rPr>
        <w:t>的涵義</w:t>
      </w:r>
    </w:p>
    <w:p w:rsidR="00043B15" w:rsidRDefault="00043B15">
      <w:pPr>
        <w:pStyle w:val="PlainText"/>
        <w:snapToGrid w:val="0"/>
        <w:jc w:val="both"/>
        <w:rPr>
          <w:rFonts w:ascii="Times New Roman" w:eastAsia="DFKai-SB" w:hAnsi="Times New Roman"/>
          <w:bCs/>
          <w:color w:val="231F20"/>
          <w:spacing w:val="4"/>
          <w:szCs w:val="24"/>
        </w:rPr>
      </w:pPr>
    </w:p>
    <w:p w:rsidR="00043B15" w:rsidRDefault="0066513B">
      <w:pPr>
        <w:pStyle w:val="PlainText"/>
        <w:snapToGrid w:val="0"/>
        <w:jc w:val="both"/>
        <w:rPr>
          <w:rFonts w:ascii="Times New Roman" w:eastAsia="DFKai-SB" w:hAnsi="Times New Roman"/>
          <w:bCs/>
          <w:color w:val="231F20"/>
          <w:spacing w:val="4"/>
          <w:szCs w:val="24"/>
        </w:rPr>
      </w:pPr>
      <w:r>
        <w:rPr>
          <w:rFonts w:ascii="Times New Roman" w:eastAsia="DFKai-SB" w:hAnsi="Times New Roman" w:hint="eastAsia"/>
          <w:bCs/>
          <w:color w:val="231F20"/>
          <w:spacing w:val="4"/>
          <w:szCs w:val="24"/>
        </w:rPr>
        <w:lastRenderedPageBreak/>
        <w:t>根據股票期權計劃之條款及上市規則第</w:t>
      </w:r>
      <w:r>
        <w:rPr>
          <w:rFonts w:ascii="Times New Roman" w:eastAsia="DFKai-SB" w:hAnsi="Times New Roman" w:hint="eastAsia"/>
          <w:bCs/>
          <w:color w:val="231F20"/>
          <w:spacing w:val="4"/>
          <w:szCs w:val="24"/>
        </w:rPr>
        <w:t>17.03</w:t>
      </w:r>
      <w:r>
        <w:rPr>
          <w:rFonts w:ascii="Times New Roman" w:eastAsia="DFKai-SB" w:hAnsi="Times New Roman" w:hint="eastAsia"/>
          <w:bCs/>
          <w:color w:val="231F20"/>
          <w:spacing w:val="4"/>
          <w:szCs w:val="24"/>
        </w:rPr>
        <w:t>條，</w:t>
      </w:r>
      <w:r>
        <w:rPr>
          <w:rFonts w:ascii="Times New Roman" w:eastAsia="DFKai-SB" w:hAnsi="Times New Roman" w:hint="eastAsia"/>
          <w:bCs/>
          <w:color w:val="231F20"/>
          <w:spacing w:val="4"/>
          <w:szCs w:val="24"/>
          <w:lang w:eastAsia="zh-HK"/>
        </w:rPr>
        <w:t>如</w:t>
      </w:r>
      <w:r>
        <w:rPr>
          <w:rFonts w:ascii="Times New Roman" w:eastAsia="DFKai-SB" w:hAnsi="Times New Roman" w:hint="eastAsia"/>
          <w:bCs/>
          <w:color w:val="231F20"/>
          <w:spacing w:val="4"/>
          <w:szCs w:val="24"/>
        </w:rPr>
        <w:t>對股票期權計劃條款及條件作出任何重大變</w:t>
      </w:r>
      <w:r>
        <w:rPr>
          <w:rFonts w:ascii="Times New Roman" w:eastAsia="DFKai-SB" w:hAnsi="Times New Roman" w:hint="eastAsia"/>
          <w:bCs/>
          <w:color w:val="231F20"/>
          <w:spacing w:val="4"/>
          <w:szCs w:val="24"/>
          <w:lang w:eastAsia="zh-HK"/>
        </w:rPr>
        <w:t>更</w:t>
      </w:r>
      <w:r>
        <w:rPr>
          <w:rFonts w:ascii="Times New Roman" w:eastAsia="DFKai-SB" w:hAnsi="Times New Roman" w:hint="eastAsia"/>
          <w:bCs/>
          <w:color w:val="231F20"/>
          <w:spacing w:val="4"/>
          <w:szCs w:val="24"/>
        </w:rPr>
        <w:t>或</w:t>
      </w:r>
      <w:r>
        <w:rPr>
          <w:rFonts w:ascii="Times New Roman" w:eastAsia="DFKai-SB" w:hAnsi="Times New Roman" w:hint="eastAsia"/>
          <w:bCs/>
          <w:color w:val="231F20"/>
          <w:spacing w:val="4"/>
          <w:szCs w:val="24"/>
          <w:lang w:eastAsia="zh-HK"/>
        </w:rPr>
        <w:t>已</w:t>
      </w:r>
      <w:r>
        <w:rPr>
          <w:rFonts w:ascii="Times New Roman" w:eastAsia="DFKai-SB" w:hAnsi="Times New Roman" w:hint="eastAsia"/>
          <w:bCs/>
          <w:color w:val="231F20"/>
          <w:spacing w:val="4"/>
          <w:szCs w:val="24"/>
        </w:rPr>
        <w:t>授予之股票期權</w:t>
      </w:r>
      <w:r>
        <w:rPr>
          <w:rFonts w:ascii="Times New Roman" w:eastAsia="DFKai-SB" w:hAnsi="Times New Roman" w:hint="eastAsia"/>
          <w:bCs/>
          <w:color w:val="231F20"/>
          <w:spacing w:val="4"/>
          <w:szCs w:val="24"/>
          <w:lang w:eastAsia="zh-HK"/>
        </w:rPr>
        <w:t>的</w:t>
      </w:r>
      <w:r>
        <w:rPr>
          <w:rFonts w:ascii="Times New Roman" w:eastAsia="DFKai-SB" w:hAnsi="Times New Roman" w:hint="eastAsia"/>
          <w:bCs/>
          <w:color w:val="231F20"/>
          <w:spacing w:val="4"/>
          <w:szCs w:val="24"/>
        </w:rPr>
        <w:t>條款有任何變動，</w:t>
      </w:r>
      <w:r>
        <w:rPr>
          <w:rFonts w:ascii="Times New Roman" w:eastAsia="DFKai-SB" w:hAnsi="Times New Roman" w:hint="eastAsia"/>
          <w:bCs/>
          <w:color w:val="231F20"/>
          <w:spacing w:val="4"/>
          <w:szCs w:val="24"/>
          <w:lang w:eastAsia="zh-HK"/>
        </w:rPr>
        <w:t>則</w:t>
      </w:r>
      <w:r>
        <w:rPr>
          <w:rFonts w:ascii="Times New Roman" w:eastAsia="DFKai-SB" w:hAnsi="Times New Roman" w:hint="eastAsia"/>
          <w:bCs/>
          <w:color w:val="231F20"/>
          <w:spacing w:val="4"/>
          <w:szCs w:val="24"/>
        </w:rPr>
        <w:t>必須獲得股東批准。</w:t>
      </w:r>
    </w:p>
    <w:p w:rsidR="00043B15" w:rsidRDefault="00043B15">
      <w:pPr>
        <w:pStyle w:val="PlainText"/>
        <w:snapToGrid w:val="0"/>
        <w:jc w:val="both"/>
        <w:rPr>
          <w:rFonts w:ascii="Times New Roman" w:eastAsia="DFKai-SB" w:hAnsi="Times New Roman"/>
          <w:bCs/>
          <w:color w:val="231F20"/>
          <w:spacing w:val="4"/>
          <w:szCs w:val="24"/>
        </w:rPr>
      </w:pPr>
    </w:p>
    <w:p w:rsidR="00043B15" w:rsidRDefault="0066513B">
      <w:pPr>
        <w:pStyle w:val="PlainText"/>
        <w:snapToGrid w:val="0"/>
        <w:jc w:val="both"/>
        <w:rPr>
          <w:rFonts w:ascii="Times New Roman" w:eastAsia="DFKai-SB" w:hAnsi="Times New Roman"/>
          <w:bCs/>
          <w:color w:val="231F20"/>
          <w:spacing w:val="4"/>
          <w:szCs w:val="24"/>
        </w:rPr>
      </w:pPr>
      <w:r>
        <w:rPr>
          <w:rFonts w:ascii="Times New Roman" w:eastAsia="DFKai-SB" w:hAnsi="Times New Roman" w:hint="eastAsia"/>
          <w:bCs/>
          <w:color w:val="231F20"/>
          <w:spacing w:val="4"/>
          <w:szCs w:val="24"/>
          <w:lang w:eastAsia="zh-HK"/>
        </w:rPr>
        <w:t>本公司將召開</w:t>
      </w:r>
      <w:r>
        <w:rPr>
          <w:rFonts w:ascii="Times New Roman" w:eastAsia="DFKai-SB" w:hAnsi="Times New Roman" w:hint="eastAsia"/>
          <w:bCs/>
          <w:color w:val="231F20"/>
          <w:spacing w:val="4"/>
          <w:szCs w:val="24"/>
        </w:rPr>
        <w:t>臨時股東大會</w:t>
      </w:r>
      <w:r>
        <w:rPr>
          <w:rFonts w:ascii="Times New Roman" w:eastAsia="DFKai-SB" w:hAnsi="Times New Roman"/>
          <w:bCs/>
          <w:color w:val="231F20"/>
          <w:spacing w:val="4"/>
          <w:lang w:eastAsia="zh-HK"/>
        </w:rPr>
        <w:t>及</w:t>
      </w:r>
      <w:r>
        <w:rPr>
          <w:rFonts w:ascii="Times New Roman" w:eastAsia="DFKai-SB" w:hAnsi="Times New Roman"/>
          <w:bCs/>
          <w:color w:val="231F20"/>
          <w:spacing w:val="4"/>
          <w:lang w:eastAsia="zh-HK"/>
        </w:rPr>
        <w:t>H</w:t>
      </w:r>
      <w:r>
        <w:rPr>
          <w:rFonts w:ascii="Times New Roman" w:eastAsia="DFKai-SB" w:hAnsi="Times New Roman"/>
          <w:bCs/>
          <w:color w:val="231F20"/>
          <w:spacing w:val="4"/>
          <w:lang w:eastAsia="zh-HK"/>
        </w:rPr>
        <w:t>股類別股東會議</w:t>
      </w:r>
      <w:r>
        <w:rPr>
          <w:rFonts w:ascii="Times New Roman" w:eastAsia="DFKai-SB" w:hAnsi="Times New Roman" w:hint="eastAsia"/>
          <w:bCs/>
          <w:color w:val="231F20"/>
          <w:spacing w:val="4"/>
          <w:szCs w:val="24"/>
        </w:rPr>
        <w:t>，提呈一項</w:t>
      </w:r>
      <w:r>
        <w:rPr>
          <w:rFonts w:ascii="Times New Roman" w:eastAsia="DFKai-SB" w:hAnsi="Times New Roman" w:hint="eastAsia"/>
          <w:bCs/>
          <w:color w:val="231F20"/>
          <w:spacing w:val="4"/>
          <w:szCs w:val="24"/>
          <w:lang w:eastAsia="zh-HK"/>
        </w:rPr>
        <w:t>特別</w:t>
      </w:r>
      <w:r>
        <w:rPr>
          <w:rFonts w:ascii="Times New Roman" w:eastAsia="DFKai-SB" w:hAnsi="Times New Roman" w:hint="eastAsia"/>
          <w:bCs/>
          <w:color w:val="231F20"/>
          <w:spacing w:val="4"/>
          <w:szCs w:val="24"/>
        </w:rPr>
        <w:t>決議案，以</w:t>
      </w:r>
      <w:r>
        <w:rPr>
          <w:rFonts w:ascii="Times New Roman" w:eastAsia="DFKai-SB" w:hAnsi="Times New Roman" w:hint="eastAsia"/>
          <w:bCs/>
          <w:color w:val="231F20"/>
          <w:spacing w:val="4"/>
          <w:szCs w:val="24"/>
          <w:lang w:eastAsia="zh-HK"/>
        </w:rPr>
        <w:t>讓股東</w:t>
      </w:r>
      <w:r>
        <w:rPr>
          <w:rFonts w:ascii="Times New Roman" w:eastAsia="DFKai-SB" w:hAnsi="Times New Roman" w:hint="eastAsia"/>
          <w:bCs/>
          <w:color w:val="231F20"/>
          <w:spacing w:val="4"/>
          <w:szCs w:val="24"/>
        </w:rPr>
        <w:t>考慮並酌情批准建議修訂</w:t>
      </w:r>
      <w:r w:rsidRPr="00AB1B1D">
        <w:rPr>
          <w:rFonts w:ascii="Times New Roman" w:eastAsia="DFKai-SB" w:hAnsi="Times New Roman" w:hint="eastAsia"/>
          <w:bCs/>
          <w:color w:val="231F20"/>
          <w:spacing w:val="4"/>
          <w:szCs w:val="24"/>
        </w:rPr>
        <w:t>。</w:t>
      </w:r>
      <w:r w:rsidRPr="00AB1B1D">
        <w:rPr>
          <w:rFonts w:ascii="Times New Roman" w:eastAsia="DFKai-SB" w:hAnsi="Times New Roman" w:hint="eastAsia"/>
          <w:bCs/>
          <w:color w:val="231F20"/>
          <w:spacing w:val="4"/>
          <w:szCs w:val="24"/>
        </w:rPr>
        <w:t xml:space="preserve"> </w:t>
      </w:r>
      <w:r w:rsidRPr="00AB1B1D">
        <w:rPr>
          <w:rFonts w:ascii="Times New Roman" w:eastAsia="DFKai-SB" w:hAnsi="Times New Roman" w:hint="eastAsia"/>
          <w:bCs/>
          <w:color w:val="231F20"/>
          <w:spacing w:val="4"/>
          <w:szCs w:val="24"/>
        </w:rPr>
        <w:t>董事經作出一切合理查詢後，</w:t>
      </w:r>
      <w:r w:rsidRPr="00AB1B1D">
        <w:rPr>
          <w:rFonts w:ascii="Times New Roman" w:eastAsia="DFKai-SB" w:hAnsi="Times New Roman" w:hint="eastAsia"/>
          <w:bCs/>
          <w:color w:val="231F20"/>
          <w:spacing w:val="4"/>
          <w:szCs w:val="24"/>
          <w:lang w:eastAsia="zh-HK"/>
        </w:rPr>
        <w:t>就其</w:t>
      </w:r>
      <w:r w:rsidRPr="00AB1B1D">
        <w:rPr>
          <w:rFonts w:ascii="Times New Roman" w:eastAsia="DFKai-SB" w:hAnsi="Times New Roman" w:hint="eastAsia"/>
          <w:bCs/>
          <w:color w:val="231F20"/>
          <w:spacing w:val="4"/>
          <w:szCs w:val="24"/>
        </w:rPr>
        <w:t>所深知、</w:t>
      </w:r>
      <w:proofErr w:type="gramStart"/>
      <w:r w:rsidRPr="00AB1B1D">
        <w:rPr>
          <w:rFonts w:ascii="Times New Roman" w:eastAsia="DFKai-SB" w:hAnsi="Times New Roman" w:hint="eastAsia"/>
          <w:bCs/>
          <w:color w:val="231F20"/>
          <w:spacing w:val="4"/>
          <w:szCs w:val="24"/>
        </w:rPr>
        <w:t>全悉及</w:t>
      </w:r>
      <w:proofErr w:type="gramEnd"/>
      <w:r w:rsidRPr="00AB1B1D">
        <w:rPr>
          <w:rFonts w:ascii="Times New Roman" w:eastAsia="DFKai-SB" w:hAnsi="Times New Roman" w:hint="eastAsia"/>
          <w:bCs/>
          <w:color w:val="231F20"/>
          <w:spacing w:val="4"/>
          <w:szCs w:val="24"/>
        </w:rPr>
        <w:t>確信，除張代銘先生外（由於彼等被認為於建議修訂中擁有重大權益，因此須</w:t>
      </w:r>
      <w:r w:rsidRPr="00AB1B1D">
        <w:rPr>
          <w:rFonts w:ascii="Times New Roman" w:eastAsia="DFKai-SB" w:hAnsi="Times New Roman" w:hint="eastAsia"/>
          <w:bCs/>
          <w:color w:val="231F20"/>
          <w:spacing w:val="4"/>
          <w:szCs w:val="24"/>
          <w:lang w:eastAsia="zh-HK"/>
        </w:rPr>
        <w:t>在</w:t>
      </w:r>
      <w:r w:rsidRPr="00AB1B1D">
        <w:rPr>
          <w:rFonts w:ascii="Times New Roman" w:eastAsia="DFKai-SB" w:hAnsi="Times New Roman" w:hint="eastAsia"/>
          <w:bCs/>
          <w:color w:val="231F20"/>
          <w:spacing w:val="4"/>
          <w:szCs w:val="24"/>
        </w:rPr>
        <w:t>臨時股東大會</w:t>
      </w:r>
      <w:r w:rsidRPr="00AB1B1D">
        <w:rPr>
          <w:rFonts w:ascii="Times New Roman" w:eastAsia="DFKai-SB" w:hAnsi="Times New Roman" w:hint="eastAsia"/>
          <w:bCs/>
          <w:color w:val="231F20"/>
          <w:spacing w:val="4"/>
          <w:szCs w:val="24"/>
          <w:lang w:eastAsia="zh-HK"/>
        </w:rPr>
        <w:t>上</w:t>
      </w:r>
      <w:r w:rsidRPr="00AB1B1D">
        <w:rPr>
          <w:rFonts w:ascii="Times New Roman" w:eastAsia="DFKai-SB" w:hAnsi="Times New Roman" w:hint="eastAsia"/>
          <w:bCs/>
          <w:color w:val="231F20"/>
          <w:spacing w:val="4"/>
          <w:szCs w:val="24"/>
        </w:rPr>
        <w:t>放棄投票），概無其他股東於建議修訂中擁有任何重大利益。因此，除張代銘先生外</w:t>
      </w:r>
      <w:r w:rsidRPr="00AB1B1D">
        <w:rPr>
          <w:rFonts w:ascii="Times New Roman" w:eastAsia="SimSun" w:hAnsi="Times New Roman" w:hint="eastAsia"/>
          <w:bCs/>
          <w:color w:val="231F20"/>
          <w:spacing w:val="4"/>
          <w:szCs w:val="24"/>
        </w:rPr>
        <w:t>，</w:t>
      </w:r>
      <w:r w:rsidRPr="00AB1B1D">
        <w:rPr>
          <w:rFonts w:ascii="Times New Roman" w:eastAsia="DFKai-SB" w:hAnsi="Times New Roman" w:hint="eastAsia"/>
          <w:bCs/>
          <w:color w:val="231F20"/>
          <w:spacing w:val="4"/>
          <w:szCs w:val="24"/>
        </w:rPr>
        <w:t>概無其他股東須就臨時股東大會</w:t>
      </w:r>
      <w:r w:rsidRPr="00AB1B1D">
        <w:rPr>
          <w:rFonts w:ascii="Times New Roman" w:eastAsia="DFKai-SB" w:hAnsi="Times New Roman"/>
          <w:bCs/>
          <w:color w:val="231F20"/>
          <w:spacing w:val="4"/>
          <w:lang w:eastAsia="zh-HK"/>
        </w:rPr>
        <w:t>及</w:t>
      </w:r>
      <w:r w:rsidRPr="00AB1B1D">
        <w:rPr>
          <w:rFonts w:ascii="Times New Roman" w:eastAsia="DFKai-SB" w:hAnsi="Times New Roman"/>
          <w:bCs/>
          <w:color w:val="231F20"/>
          <w:spacing w:val="4"/>
          <w:lang w:eastAsia="zh-HK"/>
        </w:rPr>
        <w:t>H</w:t>
      </w:r>
      <w:r w:rsidRPr="00AB1B1D">
        <w:rPr>
          <w:rFonts w:ascii="Times New Roman" w:eastAsia="DFKai-SB" w:hAnsi="Times New Roman"/>
          <w:bCs/>
          <w:color w:val="231F20"/>
          <w:spacing w:val="4"/>
          <w:lang w:eastAsia="zh-HK"/>
        </w:rPr>
        <w:t>股類別股東會議</w:t>
      </w:r>
      <w:r w:rsidRPr="00AB1B1D">
        <w:rPr>
          <w:rFonts w:ascii="Times New Roman" w:eastAsia="DFKai-SB" w:hAnsi="Times New Roman" w:hint="eastAsia"/>
          <w:bCs/>
          <w:color w:val="231F20"/>
          <w:spacing w:val="4"/>
          <w:szCs w:val="24"/>
        </w:rPr>
        <w:t>上提呈的有關</w:t>
      </w:r>
      <w:r w:rsidRPr="00AB1B1D">
        <w:rPr>
          <w:rFonts w:ascii="DFKai-SB" w:eastAsia="DFKai-SB" w:hAnsi="DFKai-SB" w:hint="eastAsia"/>
          <w:bCs/>
          <w:color w:val="231F20"/>
          <w:spacing w:val="4"/>
          <w:szCs w:val="24"/>
        </w:rPr>
        <w:t>決議案放棄投票。</w:t>
      </w:r>
    </w:p>
    <w:p w:rsidR="00043B15" w:rsidRDefault="00043B15">
      <w:pPr>
        <w:pStyle w:val="PlainText"/>
        <w:snapToGrid w:val="0"/>
        <w:jc w:val="both"/>
        <w:rPr>
          <w:rFonts w:ascii="Times New Roman" w:eastAsia="DFKai-SB" w:hAnsi="Times New Roman"/>
          <w:b/>
          <w:bCs/>
          <w:color w:val="231F20"/>
          <w:spacing w:val="4"/>
          <w:szCs w:val="24"/>
          <w:lang w:eastAsia="zh-HK"/>
        </w:rPr>
      </w:pPr>
    </w:p>
    <w:p w:rsidR="00043B15" w:rsidRDefault="0066513B">
      <w:pPr>
        <w:pStyle w:val="PlainText"/>
        <w:snapToGrid w:val="0"/>
        <w:jc w:val="both"/>
        <w:rPr>
          <w:rFonts w:ascii="Times New Roman" w:eastAsia="DFKai-SB" w:hAnsi="Times New Roman"/>
          <w:b/>
          <w:bCs/>
          <w:color w:val="231F20"/>
          <w:spacing w:val="4"/>
          <w:szCs w:val="24"/>
          <w:lang w:eastAsia="zh-HK"/>
        </w:rPr>
      </w:pPr>
      <w:r>
        <w:rPr>
          <w:rFonts w:ascii="Times New Roman" w:eastAsia="DFKai-SB" w:hAnsi="Times New Roman" w:hint="eastAsia"/>
          <w:b/>
          <w:bCs/>
          <w:color w:val="231F20"/>
          <w:spacing w:val="4"/>
          <w:szCs w:val="24"/>
          <w:lang w:eastAsia="zh-HK"/>
        </w:rPr>
        <w:t>一般資料</w:t>
      </w:r>
    </w:p>
    <w:p w:rsidR="00043B15" w:rsidRDefault="00043B15">
      <w:pPr>
        <w:pStyle w:val="PlainText"/>
        <w:snapToGrid w:val="0"/>
        <w:jc w:val="both"/>
        <w:rPr>
          <w:rFonts w:ascii="Times New Roman" w:eastAsia="DFKai-SB" w:hAnsi="Times New Roman"/>
          <w:b/>
          <w:bCs/>
          <w:color w:val="231F20"/>
          <w:spacing w:val="4"/>
          <w:szCs w:val="24"/>
        </w:rPr>
      </w:pPr>
    </w:p>
    <w:p w:rsidR="00043B15" w:rsidRDefault="0066513B">
      <w:pPr>
        <w:autoSpaceDE w:val="0"/>
        <w:autoSpaceDN w:val="0"/>
        <w:adjustRightInd w:val="0"/>
        <w:ind w:right="49"/>
        <w:jc w:val="both"/>
        <w:rPr>
          <w:rFonts w:eastAsia="DFKai-SB"/>
          <w:bCs/>
          <w:color w:val="231F20"/>
          <w:spacing w:val="4"/>
          <w:lang w:eastAsia="zh-HK"/>
        </w:rPr>
      </w:pPr>
      <w:r>
        <w:rPr>
          <w:rFonts w:eastAsia="DFKai-SB" w:hint="eastAsia"/>
          <w:bCs/>
          <w:color w:val="231F20"/>
          <w:spacing w:val="4"/>
          <w:lang w:eastAsia="zh-HK"/>
        </w:rPr>
        <w:t>載列（其中包括）（</w:t>
      </w:r>
      <w:proofErr w:type="spellStart"/>
      <w:r>
        <w:rPr>
          <w:rFonts w:eastAsia="DFKai-SB" w:hint="eastAsia"/>
          <w:bCs/>
          <w:color w:val="231F20"/>
          <w:spacing w:val="4"/>
          <w:lang w:eastAsia="zh-HK"/>
        </w:rPr>
        <w:t>i</w:t>
      </w:r>
      <w:proofErr w:type="spellEnd"/>
      <w:r>
        <w:rPr>
          <w:rFonts w:eastAsia="DFKai-SB" w:hint="eastAsia"/>
          <w:bCs/>
          <w:color w:val="231F20"/>
          <w:spacing w:val="4"/>
          <w:lang w:eastAsia="zh-HK"/>
        </w:rPr>
        <w:t>）建議修訂的詳情；</w:t>
      </w:r>
      <w:r>
        <w:rPr>
          <w:rFonts w:eastAsia="DFKai-SB" w:hint="eastAsia"/>
          <w:bCs/>
          <w:color w:val="231F20"/>
          <w:spacing w:val="4"/>
          <w:lang w:eastAsia="zh-HK"/>
        </w:rPr>
        <w:t xml:space="preserve"> </w:t>
      </w:r>
      <w:r>
        <w:rPr>
          <w:rFonts w:eastAsia="DFKai-SB" w:hint="eastAsia"/>
          <w:bCs/>
          <w:color w:val="231F20"/>
          <w:spacing w:val="4"/>
          <w:lang w:eastAsia="zh-HK"/>
        </w:rPr>
        <w:t>及（</w:t>
      </w:r>
      <w:r>
        <w:rPr>
          <w:rFonts w:eastAsia="DFKai-SB" w:hint="eastAsia"/>
          <w:bCs/>
          <w:color w:val="231F20"/>
          <w:spacing w:val="4"/>
          <w:lang w:eastAsia="zh-HK"/>
        </w:rPr>
        <w:t>ii</w:t>
      </w:r>
      <w:r>
        <w:rPr>
          <w:rFonts w:eastAsia="DFKai-SB" w:hint="eastAsia"/>
          <w:bCs/>
          <w:color w:val="231F20"/>
          <w:spacing w:val="4"/>
          <w:lang w:eastAsia="zh-HK"/>
        </w:rPr>
        <w:t>）召開臨時股東大會</w:t>
      </w:r>
      <w:r>
        <w:rPr>
          <w:rFonts w:eastAsia="DFKai-SB"/>
          <w:bCs/>
          <w:color w:val="231F20"/>
          <w:spacing w:val="4"/>
          <w:lang w:eastAsia="zh-HK"/>
        </w:rPr>
        <w:t>及</w:t>
      </w:r>
      <w:r>
        <w:rPr>
          <w:rFonts w:eastAsia="DFKai-SB"/>
          <w:bCs/>
          <w:color w:val="231F20"/>
          <w:spacing w:val="4"/>
          <w:lang w:eastAsia="zh-HK"/>
        </w:rPr>
        <w:t>H</w:t>
      </w:r>
      <w:r>
        <w:rPr>
          <w:rFonts w:eastAsia="DFKai-SB"/>
          <w:bCs/>
          <w:color w:val="231F20"/>
          <w:spacing w:val="4"/>
          <w:lang w:eastAsia="zh-HK"/>
        </w:rPr>
        <w:t>股類別股東會議</w:t>
      </w:r>
      <w:r>
        <w:rPr>
          <w:rFonts w:eastAsia="DFKai-SB" w:hint="eastAsia"/>
          <w:bCs/>
          <w:color w:val="231F20"/>
          <w:spacing w:val="4"/>
          <w:lang w:eastAsia="zh-HK"/>
        </w:rPr>
        <w:t>通告的通函</w:t>
      </w:r>
      <w:r>
        <w:rPr>
          <w:rFonts w:eastAsia="DFKai-SB" w:hint="eastAsia"/>
          <w:bCs/>
          <w:color w:val="231F20"/>
          <w:spacing w:val="4"/>
        </w:rPr>
        <w:t>，</w:t>
      </w:r>
      <w:r>
        <w:rPr>
          <w:rFonts w:eastAsia="DFKai-SB" w:hint="eastAsia"/>
          <w:bCs/>
          <w:color w:val="231F20"/>
          <w:spacing w:val="4"/>
          <w:lang w:eastAsia="zh-HK"/>
        </w:rPr>
        <w:t>將</w:t>
      </w:r>
      <w:proofErr w:type="gramStart"/>
      <w:r>
        <w:rPr>
          <w:rFonts w:eastAsia="DFKai-SB" w:hint="eastAsia"/>
          <w:bCs/>
          <w:color w:val="231F20"/>
          <w:spacing w:val="4"/>
          <w:lang w:eastAsia="zh-HK"/>
        </w:rPr>
        <w:t>於或約於</w:t>
      </w:r>
      <w:proofErr w:type="gramEnd"/>
      <w:r>
        <w:rPr>
          <w:rFonts w:eastAsia="DFKai-SB" w:hint="eastAsia"/>
          <w:bCs/>
          <w:color w:val="231F20"/>
          <w:spacing w:val="4"/>
          <w:lang w:eastAsia="zh-HK"/>
        </w:rPr>
        <w:t>2020</w:t>
      </w:r>
      <w:r>
        <w:rPr>
          <w:rFonts w:eastAsia="DFKai-SB" w:hint="eastAsia"/>
          <w:bCs/>
          <w:color w:val="231F20"/>
          <w:spacing w:val="4"/>
          <w:lang w:eastAsia="zh-HK"/>
        </w:rPr>
        <w:t>年</w:t>
      </w:r>
      <w:r>
        <w:rPr>
          <w:rFonts w:eastAsia="DFKai-SB" w:hint="eastAsia"/>
          <w:bCs/>
          <w:color w:val="231F20"/>
          <w:spacing w:val="4"/>
          <w:lang w:eastAsia="zh-HK"/>
        </w:rPr>
        <w:t>1</w:t>
      </w:r>
      <w:r>
        <w:rPr>
          <w:rFonts w:eastAsia="SimSun" w:hint="eastAsia"/>
          <w:bCs/>
          <w:color w:val="231F20"/>
          <w:spacing w:val="4"/>
        </w:rPr>
        <w:t>2</w:t>
      </w:r>
      <w:r>
        <w:rPr>
          <w:rFonts w:eastAsia="DFKai-SB" w:hint="eastAsia"/>
          <w:bCs/>
          <w:color w:val="231F20"/>
          <w:spacing w:val="4"/>
          <w:lang w:eastAsia="zh-HK"/>
        </w:rPr>
        <w:t>月上旬或之前向股東寄發</w:t>
      </w:r>
      <w:r>
        <w:rPr>
          <w:rFonts w:eastAsia="DFKai-SB" w:hint="eastAsia"/>
          <w:bCs/>
          <w:color w:val="231F20"/>
          <w:spacing w:val="4"/>
        </w:rPr>
        <w:t>。</w:t>
      </w:r>
    </w:p>
    <w:p w:rsidR="00043B15" w:rsidRDefault="00043B15">
      <w:pPr>
        <w:pStyle w:val="PlainText"/>
        <w:snapToGrid w:val="0"/>
        <w:jc w:val="both"/>
        <w:rPr>
          <w:rFonts w:ascii="Times New Roman" w:eastAsia="DFKai-SB" w:hAnsi="Times New Roman"/>
          <w:b/>
          <w:bCs/>
          <w:color w:val="231F20"/>
          <w:spacing w:val="4"/>
          <w:szCs w:val="24"/>
        </w:rPr>
      </w:pPr>
    </w:p>
    <w:p w:rsidR="00043B15" w:rsidRDefault="00043B15">
      <w:pPr>
        <w:pStyle w:val="PlainText"/>
        <w:snapToGrid w:val="0"/>
        <w:jc w:val="both"/>
        <w:rPr>
          <w:rFonts w:ascii="Times New Roman" w:eastAsia="DFKai-SB" w:hAnsi="Times New Roman"/>
          <w:bCs/>
          <w:color w:val="231F20"/>
          <w:spacing w:val="4"/>
          <w:szCs w:val="24"/>
        </w:rPr>
      </w:pPr>
    </w:p>
    <w:p w:rsidR="00043B15" w:rsidRDefault="00043B15">
      <w:pPr>
        <w:pStyle w:val="PlainText"/>
        <w:snapToGrid w:val="0"/>
        <w:jc w:val="both"/>
        <w:rPr>
          <w:rFonts w:ascii="Times New Roman" w:eastAsia="DFKai-SB" w:hAnsi="Times New Roman"/>
          <w:b/>
          <w:bCs/>
          <w:color w:val="231F20"/>
          <w:spacing w:val="4"/>
          <w:szCs w:val="24"/>
          <w:lang w:eastAsia="zh-HK"/>
        </w:rPr>
      </w:pPr>
    </w:p>
    <w:p w:rsidR="00043B15" w:rsidRDefault="0066513B">
      <w:pPr>
        <w:pStyle w:val="BodyText1"/>
        <w:tabs>
          <w:tab w:val="clear" w:pos="5100"/>
          <w:tab w:val="left" w:pos="4981"/>
        </w:tabs>
        <w:spacing w:line="240" w:lineRule="auto"/>
        <w:ind w:left="110" w:right="-1710" w:firstLine="3859"/>
        <w:jc w:val="center"/>
        <w:rPr>
          <w:rFonts w:ascii="Times New Roman" w:eastAsia="DFKai-SB" w:hAnsi="Times New Roman"/>
          <w:color w:val="auto"/>
          <w:sz w:val="24"/>
          <w:szCs w:val="24"/>
          <w:lang w:eastAsia="zh-TW"/>
        </w:rPr>
      </w:pPr>
      <w:r>
        <w:rPr>
          <w:rFonts w:ascii="Times New Roman" w:eastAsia="DFKai-SB" w:hAnsi="Times New Roman"/>
          <w:color w:val="auto"/>
          <w:sz w:val="24"/>
          <w:szCs w:val="24"/>
          <w:lang w:eastAsia="zh-TW"/>
        </w:rPr>
        <w:t>承董事會命</w:t>
      </w:r>
    </w:p>
    <w:p w:rsidR="00043B15" w:rsidRDefault="0066513B">
      <w:pPr>
        <w:pStyle w:val="BodyText1"/>
        <w:tabs>
          <w:tab w:val="clear" w:pos="340"/>
          <w:tab w:val="clear" w:pos="680"/>
          <w:tab w:val="clear" w:pos="1020"/>
          <w:tab w:val="clear" w:pos="1360"/>
          <w:tab w:val="clear" w:pos="1700"/>
          <w:tab w:val="clear" w:pos="2040"/>
          <w:tab w:val="clear" w:pos="2380"/>
          <w:tab w:val="clear" w:pos="2720"/>
          <w:tab w:val="clear" w:pos="3060"/>
          <w:tab w:val="clear" w:pos="3400"/>
          <w:tab w:val="clear" w:pos="3740"/>
          <w:tab w:val="clear" w:pos="4080"/>
          <w:tab w:val="clear" w:pos="4420"/>
          <w:tab w:val="clear" w:pos="4760"/>
          <w:tab w:val="clear" w:pos="5100"/>
          <w:tab w:val="clear" w:pos="5440"/>
          <w:tab w:val="clear" w:pos="5780"/>
          <w:tab w:val="clear" w:pos="6120"/>
          <w:tab w:val="clear" w:pos="6460"/>
          <w:tab w:val="clear" w:pos="6800"/>
          <w:tab w:val="center" w:pos="3969"/>
          <w:tab w:val="left" w:pos="4981"/>
          <w:tab w:val="center" w:pos="5839"/>
        </w:tabs>
        <w:spacing w:line="240" w:lineRule="auto"/>
        <w:ind w:left="110" w:right="-1710" w:firstLine="3859"/>
        <w:jc w:val="center"/>
        <w:rPr>
          <w:rFonts w:ascii="Times New Roman" w:eastAsia="DFKai-SB" w:hAnsi="Times New Roman"/>
          <w:b/>
          <w:bCs/>
          <w:color w:val="auto"/>
          <w:sz w:val="24"/>
          <w:szCs w:val="24"/>
          <w:lang w:eastAsia="zh-TW"/>
        </w:rPr>
      </w:pPr>
      <w:r>
        <w:rPr>
          <w:rFonts w:ascii="Times New Roman" w:eastAsia="DFKai-SB" w:hAnsi="Times New Roman"/>
          <w:b/>
          <w:bCs/>
          <w:color w:val="auto"/>
          <w:sz w:val="24"/>
          <w:szCs w:val="24"/>
          <w:lang w:eastAsia="zh-TW"/>
        </w:rPr>
        <w:t>山東新華製藥股份有限公司</w:t>
      </w:r>
    </w:p>
    <w:p w:rsidR="00043B15" w:rsidRDefault="0066513B">
      <w:pPr>
        <w:pStyle w:val="BodyText1"/>
        <w:tabs>
          <w:tab w:val="clear" w:pos="340"/>
          <w:tab w:val="clear" w:pos="680"/>
          <w:tab w:val="clear" w:pos="1020"/>
          <w:tab w:val="clear" w:pos="1360"/>
          <w:tab w:val="clear" w:pos="1700"/>
          <w:tab w:val="clear" w:pos="2040"/>
          <w:tab w:val="clear" w:pos="2380"/>
          <w:tab w:val="clear" w:pos="2720"/>
          <w:tab w:val="clear" w:pos="3060"/>
          <w:tab w:val="clear" w:pos="3400"/>
          <w:tab w:val="clear" w:pos="3740"/>
          <w:tab w:val="clear" w:pos="4080"/>
          <w:tab w:val="clear" w:pos="4420"/>
          <w:tab w:val="clear" w:pos="4760"/>
          <w:tab w:val="clear" w:pos="5100"/>
          <w:tab w:val="clear" w:pos="5440"/>
          <w:tab w:val="clear" w:pos="5780"/>
          <w:tab w:val="clear" w:pos="6120"/>
          <w:tab w:val="clear" w:pos="6460"/>
          <w:tab w:val="clear" w:pos="6800"/>
          <w:tab w:val="center" w:pos="3969"/>
          <w:tab w:val="left" w:pos="4981"/>
          <w:tab w:val="center" w:pos="5839"/>
        </w:tabs>
        <w:spacing w:line="240" w:lineRule="auto"/>
        <w:ind w:left="110" w:right="-1710" w:firstLine="3859"/>
        <w:jc w:val="center"/>
        <w:rPr>
          <w:rFonts w:ascii="Times New Roman" w:eastAsia="DFKai-SB" w:hAnsi="Times New Roman"/>
          <w:b/>
          <w:bCs/>
          <w:color w:val="auto"/>
          <w:sz w:val="24"/>
          <w:szCs w:val="24"/>
          <w:lang w:eastAsia="zh-TW"/>
        </w:rPr>
      </w:pPr>
      <w:r>
        <w:rPr>
          <w:rFonts w:ascii="Times New Roman" w:eastAsia="DFKai-SB" w:hAnsi="Times New Roman"/>
          <w:b/>
          <w:bCs/>
          <w:color w:val="auto"/>
          <w:sz w:val="24"/>
          <w:szCs w:val="24"/>
          <w:lang w:eastAsia="zh-TW"/>
        </w:rPr>
        <w:t>張代銘</w:t>
      </w:r>
    </w:p>
    <w:p w:rsidR="00043B15" w:rsidRDefault="0066513B">
      <w:pPr>
        <w:pStyle w:val="BodyText1"/>
        <w:tabs>
          <w:tab w:val="clear" w:pos="5100"/>
          <w:tab w:val="left" w:pos="4981"/>
        </w:tabs>
        <w:spacing w:line="240" w:lineRule="auto"/>
        <w:ind w:left="110" w:right="-1710" w:firstLine="3859"/>
        <w:jc w:val="center"/>
        <w:rPr>
          <w:rFonts w:ascii="Times New Roman" w:eastAsia="DFKai-SB" w:hAnsi="Times New Roman"/>
          <w:i/>
          <w:iCs/>
          <w:color w:val="auto"/>
          <w:sz w:val="24"/>
          <w:szCs w:val="24"/>
          <w:lang w:eastAsia="zh-TW"/>
        </w:rPr>
      </w:pPr>
      <w:r>
        <w:rPr>
          <w:rFonts w:ascii="Times New Roman" w:eastAsia="DFKai-SB" w:hAnsi="Times New Roman"/>
          <w:i/>
          <w:iCs/>
          <w:color w:val="auto"/>
          <w:sz w:val="24"/>
          <w:szCs w:val="24"/>
          <w:lang w:eastAsia="zh-TW"/>
        </w:rPr>
        <w:t>董事長</w:t>
      </w:r>
    </w:p>
    <w:p w:rsidR="00043B15" w:rsidRDefault="00043B15">
      <w:pPr>
        <w:pStyle w:val="PlainText"/>
        <w:snapToGrid w:val="0"/>
        <w:jc w:val="both"/>
        <w:rPr>
          <w:rFonts w:ascii="Times New Roman" w:eastAsia="DFKai-SB" w:hAnsi="Times New Roman"/>
          <w:szCs w:val="24"/>
        </w:rPr>
      </w:pPr>
    </w:p>
    <w:p w:rsidR="00043B15" w:rsidRDefault="0066513B">
      <w:pPr>
        <w:pStyle w:val="PlainText"/>
        <w:snapToGrid w:val="0"/>
        <w:jc w:val="both"/>
        <w:rPr>
          <w:rFonts w:ascii="Times New Roman" w:eastAsia="DFKai-SB" w:hAnsi="Times New Roman"/>
          <w:szCs w:val="24"/>
        </w:rPr>
      </w:pPr>
      <w:r w:rsidRPr="00847D1B">
        <w:rPr>
          <w:rFonts w:ascii="Times New Roman" w:eastAsia="DFKai-SB" w:hAnsi="Times New Roman"/>
          <w:szCs w:val="24"/>
        </w:rPr>
        <w:t>中國</w:t>
      </w:r>
      <w:proofErr w:type="gramStart"/>
      <w:r w:rsidRPr="00847D1B">
        <w:rPr>
          <w:rFonts w:ascii="Times New Roman" w:eastAsia="DFKai-SB" w:hAnsi="Times New Roman"/>
          <w:szCs w:val="24"/>
        </w:rPr>
        <w:t>淄</w:t>
      </w:r>
      <w:proofErr w:type="gramEnd"/>
      <w:r w:rsidRPr="00847D1B">
        <w:rPr>
          <w:rFonts w:ascii="Times New Roman" w:eastAsia="DFKai-SB" w:hAnsi="Times New Roman"/>
          <w:szCs w:val="24"/>
        </w:rPr>
        <w:t>博，</w:t>
      </w:r>
      <w:r w:rsidRPr="00847D1B">
        <w:rPr>
          <w:rFonts w:ascii="Times New Roman" w:eastAsia="DFKai-SB" w:hAnsi="Times New Roman"/>
          <w:szCs w:val="24"/>
        </w:rPr>
        <w:t>2020</w:t>
      </w:r>
      <w:r w:rsidRPr="00847D1B">
        <w:rPr>
          <w:rFonts w:ascii="Times New Roman" w:eastAsia="DFKai-SB" w:hAnsi="Times New Roman"/>
          <w:szCs w:val="24"/>
        </w:rPr>
        <w:t>年</w:t>
      </w:r>
      <w:r w:rsidRPr="00847D1B">
        <w:rPr>
          <w:rFonts w:ascii="Times New Roman" w:eastAsia="SimSun" w:hAnsi="Times New Roman" w:hint="eastAsia"/>
          <w:szCs w:val="24"/>
        </w:rPr>
        <w:t>10</w:t>
      </w:r>
      <w:r w:rsidRPr="00847D1B">
        <w:rPr>
          <w:rFonts w:ascii="Times New Roman" w:eastAsia="DFKai-SB" w:hAnsi="Times New Roman"/>
          <w:szCs w:val="24"/>
        </w:rPr>
        <w:t>月</w:t>
      </w:r>
      <w:r w:rsidRPr="00847D1B">
        <w:rPr>
          <w:rFonts w:ascii="Times New Roman" w:eastAsia="SimSun" w:hAnsi="Times New Roman" w:hint="eastAsia"/>
          <w:szCs w:val="24"/>
        </w:rPr>
        <w:t>22</w:t>
      </w:r>
      <w:r w:rsidRPr="00847D1B">
        <w:rPr>
          <w:rFonts w:ascii="Times New Roman" w:eastAsia="DFKai-SB" w:hAnsi="Times New Roman"/>
          <w:szCs w:val="24"/>
        </w:rPr>
        <w:t>日</w:t>
      </w:r>
    </w:p>
    <w:p w:rsidR="00043B15" w:rsidRDefault="00043B15">
      <w:pPr>
        <w:snapToGrid w:val="0"/>
        <w:jc w:val="both"/>
        <w:rPr>
          <w:rFonts w:eastAsia="DFKai-SB"/>
          <w:bCs/>
        </w:rPr>
      </w:pPr>
    </w:p>
    <w:p w:rsidR="00043B15" w:rsidRDefault="00043B15">
      <w:pPr>
        <w:snapToGrid w:val="0"/>
        <w:jc w:val="both"/>
        <w:rPr>
          <w:rFonts w:eastAsia="DFKai-SB"/>
          <w:bCs/>
        </w:rPr>
      </w:pPr>
    </w:p>
    <w:p w:rsidR="00043B15" w:rsidRDefault="00043B15">
      <w:pPr>
        <w:snapToGrid w:val="0"/>
        <w:jc w:val="both"/>
        <w:rPr>
          <w:rFonts w:eastAsia="DFKai-SB"/>
          <w:bCs/>
        </w:rPr>
      </w:pPr>
    </w:p>
    <w:p w:rsidR="00043B15" w:rsidRDefault="0066513B">
      <w:pPr>
        <w:snapToGrid w:val="0"/>
        <w:jc w:val="both"/>
        <w:rPr>
          <w:rFonts w:eastAsia="DFKai-SB"/>
          <w:color w:val="231F20"/>
          <w:spacing w:val="4"/>
        </w:rPr>
      </w:pPr>
      <w:r>
        <w:rPr>
          <w:rFonts w:eastAsia="DFKai-SB"/>
          <w:color w:val="231F20"/>
          <w:spacing w:val="4"/>
        </w:rPr>
        <w:t>於本公告日期，本公司董事會由下列董事組成：</w:t>
      </w:r>
      <w:r>
        <w:rPr>
          <w:rFonts w:eastAsia="DFKai-SB"/>
          <w:color w:val="231F20"/>
          <w:spacing w:val="4"/>
        </w:rPr>
        <w:t xml:space="preserve"> </w:t>
      </w:r>
    </w:p>
    <w:p w:rsidR="00043B15" w:rsidRDefault="00043B15">
      <w:pPr>
        <w:snapToGrid w:val="0"/>
        <w:ind w:left="110"/>
        <w:jc w:val="both"/>
        <w:rPr>
          <w:rFonts w:eastAsia="DFKai-SB"/>
          <w:color w:val="231F20"/>
          <w:spacing w:val="4"/>
        </w:rPr>
      </w:pPr>
    </w:p>
    <w:tbl>
      <w:tblPr>
        <w:tblW w:w="8696" w:type="dxa"/>
        <w:tblInd w:w="-28" w:type="dxa"/>
        <w:tblLayout w:type="fixed"/>
        <w:tblCellMar>
          <w:left w:w="28" w:type="dxa"/>
          <w:right w:w="28" w:type="dxa"/>
        </w:tblCellMar>
        <w:tblLook w:val="04A0" w:firstRow="1" w:lastRow="0" w:firstColumn="1" w:lastColumn="0" w:noHBand="0" w:noVBand="1"/>
      </w:tblPr>
      <w:tblGrid>
        <w:gridCol w:w="4348"/>
        <w:gridCol w:w="4348"/>
      </w:tblGrid>
      <w:tr w:rsidR="00043B15">
        <w:tc>
          <w:tcPr>
            <w:tcW w:w="4348" w:type="dxa"/>
          </w:tcPr>
          <w:p w:rsidR="00043B15" w:rsidRDefault="0066513B">
            <w:pPr>
              <w:snapToGrid w:val="0"/>
              <w:ind w:left="110"/>
              <w:jc w:val="both"/>
              <w:rPr>
                <w:rFonts w:eastAsia="DFKai-SB"/>
                <w:color w:val="231F20"/>
                <w:spacing w:val="4"/>
                <w:u w:val="single"/>
              </w:rPr>
            </w:pPr>
            <w:r>
              <w:rPr>
                <w:rFonts w:eastAsia="DFKai-SB"/>
                <w:color w:val="231F20"/>
                <w:spacing w:val="4"/>
                <w:u w:val="single"/>
              </w:rPr>
              <w:t>執行董事：</w:t>
            </w:r>
          </w:p>
          <w:p w:rsidR="00043B15" w:rsidRDefault="0066513B">
            <w:pPr>
              <w:snapToGrid w:val="0"/>
              <w:ind w:left="110"/>
              <w:jc w:val="both"/>
              <w:rPr>
                <w:rFonts w:eastAsia="DFKai-SB"/>
                <w:color w:val="231F20"/>
                <w:spacing w:val="4"/>
              </w:rPr>
            </w:pPr>
            <w:r>
              <w:rPr>
                <w:rFonts w:eastAsia="DFKai-SB"/>
                <w:color w:val="231F20"/>
                <w:spacing w:val="4"/>
              </w:rPr>
              <w:t>張代銘先生（董事長）</w:t>
            </w:r>
          </w:p>
          <w:p w:rsidR="00043B15" w:rsidRDefault="0066513B">
            <w:pPr>
              <w:snapToGrid w:val="0"/>
              <w:ind w:left="110"/>
              <w:jc w:val="both"/>
              <w:rPr>
                <w:rFonts w:eastAsia="DFKai-SB"/>
                <w:color w:val="231F20"/>
                <w:spacing w:val="4"/>
              </w:rPr>
            </w:pPr>
            <w:r>
              <w:rPr>
                <w:rFonts w:eastAsia="DFKai-SB"/>
                <w:color w:val="231F20"/>
                <w:spacing w:val="4"/>
              </w:rPr>
              <w:lastRenderedPageBreak/>
              <w:t>杜德平先生</w:t>
            </w:r>
          </w:p>
          <w:p w:rsidR="00043B15" w:rsidRDefault="00043B15">
            <w:pPr>
              <w:snapToGrid w:val="0"/>
              <w:ind w:left="110"/>
              <w:jc w:val="both"/>
              <w:rPr>
                <w:rFonts w:eastAsia="DFKai-SB"/>
                <w:color w:val="231F20"/>
                <w:spacing w:val="4"/>
              </w:rPr>
            </w:pPr>
          </w:p>
        </w:tc>
        <w:tc>
          <w:tcPr>
            <w:tcW w:w="4348" w:type="dxa"/>
          </w:tcPr>
          <w:p w:rsidR="00043B15" w:rsidRDefault="0066513B">
            <w:pPr>
              <w:snapToGrid w:val="0"/>
              <w:ind w:left="110"/>
              <w:jc w:val="both"/>
              <w:rPr>
                <w:rFonts w:eastAsia="DFKai-SB"/>
                <w:color w:val="231F20"/>
                <w:spacing w:val="4"/>
                <w:u w:val="single"/>
              </w:rPr>
            </w:pPr>
            <w:r>
              <w:rPr>
                <w:rFonts w:eastAsia="DFKai-SB"/>
                <w:color w:val="231F20"/>
                <w:spacing w:val="4"/>
                <w:u w:val="single"/>
              </w:rPr>
              <w:lastRenderedPageBreak/>
              <w:t>獨立非執行董事：</w:t>
            </w:r>
          </w:p>
          <w:p w:rsidR="00043B15" w:rsidRDefault="0066513B">
            <w:pPr>
              <w:snapToGrid w:val="0"/>
              <w:ind w:left="110"/>
              <w:jc w:val="both"/>
              <w:rPr>
                <w:rFonts w:eastAsia="DFKai-SB"/>
                <w:color w:val="231F20"/>
                <w:spacing w:val="4"/>
              </w:rPr>
            </w:pPr>
            <w:r>
              <w:rPr>
                <w:rFonts w:eastAsia="DFKai-SB"/>
                <w:color w:val="231F20"/>
                <w:spacing w:val="4"/>
              </w:rPr>
              <w:t>李文明先生</w:t>
            </w:r>
          </w:p>
          <w:p w:rsidR="00043B15" w:rsidRDefault="0066513B">
            <w:pPr>
              <w:snapToGrid w:val="0"/>
              <w:ind w:left="110"/>
              <w:jc w:val="both"/>
              <w:rPr>
                <w:rFonts w:eastAsia="DFKai-SB"/>
                <w:color w:val="231F20"/>
                <w:spacing w:val="4"/>
              </w:rPr>
            </w:pPr>
            <w:r>
              <w:rPr>
                <w:rFonts w:eastAsia="DFKai-SB"/>
                <w:color w:val="231F20"/>
                <w:spacing w:val="4"/>
              </w:rPr>
              <w:lastRenderedPageBreak/>
              <w:t>杜冠華先生</w:t>
            </w:r>
          </w:p>
          <w:p w:rsidR="00043B15" w:rsidRDefault="0066513B">
            <w:pPr>
              <w:snapToGrid w:val="0"/>
              <w:ind w:left="110"/>
              <w:jc w:val="both"/>
              <w:rPr>
                <w:rFonts w:eastAsia="DFKai-SB"/>
                <w:color w:val="231F20"/>
                <w:spacing w:val="4"/>
              </w:rPr>
            </w:pPr>
            <w:r>
              <w:rPr>
                <w:rFonts w:eastAsia="DFKai-SB"/>
                <w:color w:val="231F20"/>
                <w:spacing w:val="4"/>
              </w:rPr>
              <w:t>盧華威先生</w:t>
            </w:r>
          </w:p>
        </w:tc>
      </w:tr>
      <w:tr w:rsidR="00043B15">
        <w:tc>
          <w:tcPr>
            <w:tcW w:w="4348" w:type="dxa"/>
          </w:tcPr>
          <w:p w:rsidR="00043B15" w:rsidRDefault="0066513B">
            <w:pPr>
              <w:snapToGrid w:val="0"/>
              <w:ind w:left="110"/>
              <w:jc w:val="both"/>
              <w:rPr>
                <w:rFonts w:eastAsia="DFKai-SB"/>
                <w:color w:val="231F20"/>
                <w:spacing w:val="4"/>
                <w:u w:val="single"/>
              </w:rPr>
            </w:pPr>
            <w:r>
              <w:rPr>
                <w:rFonts w:eastAsia="DFKai-SB"/>
                <w:color w:val="231F20"/>
                <w:spacing w:val="4"/>
                <w:u w:val="single"/>
              </w:rPr>
              <w:lastRenderedPageBreak/>
              <w:t>非執行董事：</w:t>
            </w:r>
          </w:p>
          <w:p w:rsidR="00043B15" w:rsidRDefault="0066513B">
            <w:pPr>
              <w:snapToGrid w:val="0"/>
              <w:ind w:left="110"/>
              <w:jc w:val="both"/>
              <w:rPr>
                <w:rFonts w:eastAsia="DFKai-SB"/>
                <w:color w:val="231F20"/>
                <w:spacing w:val="4"/>
              </w:rPr>
            </w:pPr>
            <w:r>
              <w:rPr>
                <w:rFonts w:eastAsia="DFKai-SB"/>
                <w:color w:val="231F20"/>
                <w:spacing w:val="4"/>
              </w:rPr>
              <w:t>任福龍先生</w:t>
            </w:r>
          </w:p>
          <w:p w:rsidR="00043B15" w:rsidRDefault="0066513B">
            <w:pPr>
              <w:snapToGrid w:val="0"/>
              <w:ind w:left="110"/>
              <w:jc w:val="both"/>
              <w:rPr>
                <w:rFonts w:eastAsia="DFKai-SB"/>
                <w:color w:val="231F20"/>
                <w:spacing w:val="4"/>
              </w:rPr>
            </w:pPr>
            <w:r>
              <w:rPr>
                <w:rFonts w:eastAsia="DFKai-SB"/>
                <w:color w:val="231F20"/>
                <w:spacing w:val="4"/>
              </w:rPr>
              <w:t>徐列先生</w:t>
            </w:r>
          </w:p>
        </w:tc>
        <w:tc>
          <w:tcPr>
            <w:tcW w:w="4348" w:type="dxa"/>
          </w:tcPr>
          <w:p w:rsidR="00043B15" w:rsidRDefault="00043B15">
            <w:pPr>
              <w:snapToGrid w:val="0"/>
              <w:jc w:val="both"/>
              <w:rPr>
                <w:rFonts w:eastAsia="DFKai-SB"/>
                <w:color w:val="231F20"/>
                <w:spacing w:val="4"/>
              </w:rPr>
            </w:pPr>
          </w:p>
        </w:tc>
      </w:tr>
    </w:tbl>
    <w:p w:rsidR="00043B15" w:rsidRDefault="00043B15">
      <w:pPr>
        <w:rPr>
          <w:rFonts w:eastAsia="DFKai-SB"/>
          <w:b/>
        </w:rPr>
      </w:pPr>
    </w:p>
    <w:p w:rsidR="00043B15" w:rsidRDefault="0066513B">
      <w:pPr>
        <w:rPr>
          <w:rFonts w:eastAsia="DFKai-SB"/>
        </w:rPr>
      </w:pPr>
      <w:r>
        <w:rPr>
          <w:rFonts w:eastAsia="DFKai-SB" w:hint="eastAsia"/>
        </w:rPr>
        <w:t>*</w:t>
      </w:r>
      <w:r>
        <w:rPr>
          <w:rFonts w:eastAsia="DFKai-SB" w:hint="eastAsia"/>
          <w:lang w:eastAsia="zh-HK"/>
        </w:rPr>
        <w:t>僅作識別作用</w:t>
      </w:r>
      <w:r>
        <w:rPr>
          <w:rFonts w:eastAsia="DFKai-SB" w:hint="eastAsia"/>
        </w:rPr>
        <w:t>。</w:t>
      </w:r>
    </w:p>
    <w:sectPr w:rsidR="00043B15">
      <w:footerReference w:type="default" r:id="rId9"/>
      <w:pgSz w:w="11906" w:h="16838"/>
      <w:pgMar w:top="1440" w:right="1286" w:bottom="1440" w:left="153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E68" w:rsidRDefault="0066513B">
      <w:pPr>
        <w:spacing w:after="0" w:line="240" w:lineRule="auto"/>
      </w:pPr>
      <w:r>
        <w:separator/>
      </w:r>
    </w:p>
  </w:endnote>
  <w:endnote w:type="continuationSeparator" w:id="0">
    <w:p w:rsidR="00B90E68" w:rsidRDefault="00665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LT Std">
    <w:altName w:val="Microsoft YaHei"/>
    <w:charset w:val="86"/>
    <w:family w:val="auto"/>
    <w:pitch w:val="default"/>
    <w:sig w:usb0="00000000" w:usb1="00000000" w:usb2="00000010" w:usb3="00000000" w:csb0="00040001" w:csb1="00000000"/>
  </w:font>
  <w:font w:name="Times">
    <w:panose1 w:val="02020603050405020304"/>
    <w:charset w:val="00"/>
    <w:family w:val="roman"/>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B15" w:rsidRDefault="0066513B">
    <w:pPr>
      <w:pStyle w:val="Footer"/>
      <w:jc w:val="right"/>
      <w:rPr>
        <w:sz w:val="16"/>
      </w:rPr>
    </w:pPr>
    <w:r>
      <w:rPr>
        <w:noProof/>
        <w:sz w:val="16"/>
        <w:lang w:eastAsia="zh-CN"/>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7785" cy="131445"/>
              <wp:effectExtent l="0" t="0" r="0" b="3175"/>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31445"/>
                      </a:xfrm>
                      <a:prstGeom prst="rect">
                        <a:avLst/>
                      </a:prstGeom>
                      <a:noFill/>
                      <a:ln>
                        <a:noFill/>
                      </a:ln>
                    </wps:spPr>
                    <wps:txbx>
                      <w:txbxContent>
                        <w:p w:rsidR="00043B15" w:rsidRDefault="0066513B">
                          <w:pPr>
                            <w:snapToGrid w:val="0"/>
                            <w:rPr>
                              <w:rFonts w:eastAsia="SimSun"/>
                              <w:sz w:val="18"/>
                              <w:lang w:eastAsia="zh-CN"/>
                            </w:rPr>
                          </w:pPr>
                          <w:r>
                            <w:rPr>
                              <w:rFonts w:eastAsia="SimSun" w:hint="eastAsia"/>
                              <w:sz w:val="18"/>
                              <w:lang w:eastAsia="zh-CN"/>
                            </w:rPr>
                            <w:fldChar w:fldCharType="begin"/>
                          </w:r>
                          <w:r>
                            <w:rPr>
                              <w:rFonts w:eastAsia="SimSun" w:hint="eastAsia"/>
                              <w:sz w:val="18"/>
                              <w:lang w:eastAsia="zh-CN"/>
                            </w:rPr>
                            <w:instrText xml:space="preserve"> PAGE  \* MERGEFORMAT </w:instrText>
                          </w:r>
                          <w:r>
                            <w:rPr>
                              <w:rFonts w:eastAsia="SimSun" w:hint="eastAsia"/>
                              <w:sz w:val="18"/>
                              <w:lang w:eastAsia="zh-CN"/>
                            </w:rPr>
                            <w:fldChar w:fldCharType="separate"/>
                          </w:r>
                          <w:r w:rsidR="00B1587A" w:rsidRPr="00B1587A">
                            <w:rPr>
                              <w:noProof/>
                              <w:sz w:val="18"/>
                            </w:rPr>
                            <w:t>5</w:t>
                          </w:r>
                          <w:r>
                            <w:rPr>
                              <w:rFonts w:eastAsia="SimSun" w:hint="eastAsia"/>
                              <w:sz w:val="18"/>
                              <w:lang w:eastAsia="zh-CN"/>
                            </w:rPr>
                            <w:fldChar w:fldCharType="end"/>
                          </w:r>
                        </w:p>
                      </w:txbxContent>
                    </wps:txbx>
                    <wps:bodyPr rot="0" vert="horz" wrap="none" lIns="0" tIns="0" rIns="0" bIns="0" anchor="t" anchorCtr="0" upright="1">
                      <a:spAutoFit/>
                    </wps:bodyPr>
                  </wps:wsp>
                </a:graphicData>
              </a:graphic>
            </wp:anchor>
          </w:drawing>
        </mc:Choice>
        <mc:Fallback>
          <w:pict>
            <v:rect id="文本框 2" o:spid="_x0000_s1026" style="position:absolute;left:0;text-align:left;margin-left:0;margin-top:0;width:4.55pt;height:10.35pt;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" filled="f" stroked="f">
              <v:textbox style="mso-fit-shape-to-text:t" inset="0,0,0,0">
                <w:txbxContent>
                  <w:p w:rsidR="00043B15" w:rsidRDefault="0066513B">
                    <w:pPr>
                      <w:snapToGrid w:val="0"/>
                      <w:rPr>
                        <w:rFonts w:eastAsia="SimSun"/>
                        <w:sz w:val="18"/>
                        <w:lang w:eastAsia="zh-CN"/>
                      </w:rPr>
                    </w:pPr>
                    <w:r>
                      <w:rPr>
                        <w:rFonts w:eastAsia="SimSun" w:hint="eastAsia"/>
                        <w:sz w:val="18"/>
                        <w:lang w:eastAsia="zh-CN"/>
                      </w:rPr>
                      <w:fldChar w:fldCharType="begin"/>
                    </w:r>
                    <w:r>
                      <w:rPr>
                        <w:rFonts w:eastAsia="SimSun" w:hint="eastAsia"/>
                        <w:sz w:val="18"/>
                        <w:lang w:eastAsia="zh-CN"/>
                      </w:rPr>
                      <w:instrText xml:space="preserve"> PAGE  \* MERGEFORMAT </w:instrText>
                    </w:r>
                    <w:r>
                      <w:rPr>
                        <w:rFonts w:eastAsia="SimSun" w:hint="eastAsia"/>
                        <w:sz w:val="18"/>
                        <w:lang w:eastAsia="zh-CN"/>
                      </w:rPr>
                      <w:fldChar w:fldCharType="separate"/>
                    </w:r>
                    <w:r w:rsidR="00B1587A" w:rsidRPr="00B1587A">
                      <w:rPr>
                        <w:noProof/>
                        <w:sz w:val="18"/>
                      </w:rPr>
                      <w:t>5</w:t>
                    </w:r>
                    <w:r>
                      <w:rPr>
                        <w:rFonts w:eastAsia="SimSun" w:hint="eastAsia"/>
                        <w:sz w:val="18"/>
                        <w:lang w:eastAsia="zh-CN"/>
                      </w:rPr>
                      <w:fldChar w:fldCharType="end"/>
                    </w:r>
                  </w:p>
                </w:txbxContent>
              </v:textbox>
              <w10:wrap anchorx="margin"/>
            </v:rect>
          </w:pict>
        </mc:Fallback>
      </mc:AlternateContent>
    </w:r>
  </w:p>
  <w:p w:rsidR="00043B15" w:rsidRDefault="00043B15">
    <w:pPr>
      <w:pStyle w:val="Foote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E68" w:rsidRDefault="0066513B">
      <w:pPr>
        <w:spacing w:after="0" w:line="240" w:lineRule="auto"/>
      </w:pPr>
      <w:r>
        <w:separator/>
      </w:r>
    </w:p>
  </w:footnote>
  <w:footnote w:type="continuationSeparator" w:id="0">
    <w:p w:rsidR="00B90E68" w:rsidRDefault="006651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A4116"/>
    <w:multiLevelType w:val="multilevel"/>
    <w:tmpl w:val="0E0A4116"/>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6127391"/>
    <w:multiLevelType w:val="multilevel"/>
    <w:tmpl w:val="461273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46B112C"/>
    <w:multiLevelType w:val="multilevel"/>
    <w:tmpl w:val="746B112C"/>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0"/>
  <w:characterSpacingControl w:val="doNotCompress"/>
  <w:doNotValidateAgainstSchema/>
  <w:doNotDemarcateInvalidXml/>
  <w:footnotePr>
    <w:footnote w:id="-1"/>
    <w:footnote w:id="0"/>
  </w:footnotePr>
  <w:endnotePr>
    <w:endnote w:id="-1"/>
    <w:endnote w:id="0"/>
  </w:endnotePr>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4E9"/>
    <w:rsid w:val="00003B4A"/>
    <w:rsid w:val="0001545A"/>
    <w:rsid w:val="00022F63"/>
    <w:rsid w:val="00026AE1"/>
    <w:rsid w:val="000318F2"/>
    <w:rsid w:val="00037294"/>
    <w:rsid w:val="00037834"/>
    <w:rsid w:val="00043B15"/>
    <w:rsid w:val="00044EA4"/>
    <w:rsid w:val="0004745C"/>
    <w:rsid w:val="00052724"/>
    <w:rsid w:val="000540F2"/>
    <w:rsid w:val="0006132A"/>
    <w:rsid w:val="0007303F"/>
    <w:rsid w:val="00075E6F"/>
    <w:rsid w:val="000979E2"/>
    <w:rsid w:val="000A12D6"/>
    <w:rsid w:val="000A55D5"/>
    <w:rsid w:val="000B0380"/>
    <w:rsid w:val="000B6D2A"/>
    <w:rsid w:val="000C4C85"/>
    <w:rsid w:val="000C500D"/>
    <w:rsid w:val="000D16D7"/>
    <w:rsid w:val="000D38ED"/>
    <w:rsid w:val="000D7E1D"/>
    <w:rsid w:val="000E36A3"/>
    <w:rsid w:val="000F0B09"/>
    <w:rsid w:val="00120173"/>
    <w:rsid w:val="00131E51"/>
    <w:rsid w:val="001322F3"/>
    <w:rsid w:val="00137B38"/>
    <w:rsid w:val="001439D1"/>
    <w:rsid w:val="001536BE"/>
    <w:rsid w:val="001555E1"/>
    <w:rsid w:val="001579F6"/>
    <w:rsid w:val="00161A28"/>
    <w:rsid w:val="001641B5"/>
    <w:rsid w:val="00172A27"/>
    <w:rsid w:val="00183D1A"/>
    <w:rsid w:val="001926E5"/>
    <w:rsid w:val="001946D8"/>
    <w:rsid w:val="00197588"/>
    <w:rsid w:val="001C0FC5"/>
    <w:rsid w:val="001D1191"/>
    <w:rsid w:val="001D2956"/>
    <w:rsid w:val="001D2E9A"/>
    <w:rsid w:val="001F2EA1"/>
    <w:rsid w:val="002051FC"/>
    <w:rsid w:val="00212BD9"/>
    <w:rsid w:val="002147BA"/>
    <w:rsid w:val="00225A2C"/>
    <w:rsid w:val="002409FE"/>
    <w:rsid w:val="0024494A"/>
    <w:rsid w:val="00247DED"/>
    <w:rsid w:val="0025006B"/>
    <w:rsid w:val="00260934"/>
    <w:rsid w:val="00265087"/>
    <w:rsid w:val="002756B7"/>
    <w:rsid w:val="00276C22"/>
    <w:rsid w:val="00287CB2"/>
    <w:rsid w:val="00296374"/>
    <w:rsid w:val="0029736D"/>
    <w:rsid w:val="002A617C"/>
    <w:rsid w:val="002B3A7D"/>
    <w:rsid w:val="002B722B"/>
    <w:rsid w:val="002C0EC6"/>
    <w:rsid w:val="002C3D5B"/>
    <w:rsid w:val="002D334C"/>
    <w:rsid w:val="002E09AF"/>
    <w:rsid w:val="002F01AF"/>
    <w:rsid w:val="002F1A70"/>
    <w:rsid w:val="002F79A9"/>
    <w:rsid w:val="003065B3"/>
    <w:rsid w:val="00337886"/>
    <w:rsid w:val="003415C4"/>
    <w:rsid w:val="00347777"/>
    <w:rsid w:val="00353B9F"/>
    <w:rsid w:val="00375317"/>
    <w:rsid w:val="00383EDB"/>
    <w:rsid w:val="00390086"/>
    <w:rsid w:val="003A09FA"/>
    <w:rsid w:val="003A137A"/>
    <w:rsid w:val="003A7477"/>
    <w:rsid w:val="003B0D94"/>
    <w:rsid w:val="003B18DC"/>
    <w:rsid w:val="003B1F2D"/>
    <w:rsid w:val="003B7502"/>
    <w:rsid w:val="003C46B1"/>
    <w:rsid w:val="003C5923"/>
    <w:rsid w:val="003D5113"/>
    <w:rsid w:val="003D60BA"/>
    <w:rsid w:val="003D77F7"/>
    <w:rsid w:val="003D7A3F"/>
    <w:rsid w:val="003E604A"/>
    <w:rsid w:val="003E6E6F"/>
    <w:rsid w:val="003F25F8"/>
    <w:rsid w:val="00407C59"/>
    <w:rsid w:val="00425804"/>
    <w:rsid w:val="00433CDC"/>
    <w:rsid w:val="0044101F"/>
    <w:rsid w:val="00444C9D"/>
    <w:rsid w:val="004475D4"/>
    <w:rsid w:val="004606E7"/>
    <w:rsid w:val="0047226D"/>
    <w:rsid w:val="00472A2E"/>
    <w:rsid w:val="00476072"/>
    <w:rsid w:val="004A18F4"/>
    <w:rsid w:val="004B6227"/>
    <w:rsid w:val="004B7A75"/>
    <w:rsid w:val="004C17D0"/>
    <w:rsid w:val="004C5281"/>
    <w:rsid w:val="004C76F7"/>
    <w:rsid w:val="004D408B"/>
    <w:rsid w:val="004E502A"/>
    <w:rsid w:val="004E655D"/>
    <w:rsid w:val="0050302E"/>
    <w:rsid w:val="00504EB6"/>
    <w:rsid w:val="00505B67"/>
    <w:rsid w:val="00510E03"/>
    <w:rsid w:val="00512324"/>
    <w:rsid w:val="005142BB"/>
    <w:rsid w:val="00517739"/>
    <w:rsid w:val="00522907"/>
    <w:rsid w:val="00544751"/>
    <w:rsid w:val="005549CE"/>
    <w:rsid w:val="0056235F"/>
    <w:rsid w:val="0056286D"/>
    <w:rsid w:val="00575DB1"/>
    <w:rsid w:val="0058172F"/>
    <w:rsid w:val="005848CB"/>
    <w:rsid w:val="005B5C87"/>
    <w:rsid w:val="005E2F5B"/>
    <w:rsid w:val="005E3B12"/>
    <w:rsid w:val="00602F37"/>
    <w:rsid w:val="00613042"/>
    <w:rsid w:val="0061488E"/>
    <w:rsid w:val="00614C74"/>
    <w:rsid w:val="00626C16"/>
    <w:rsid w:val="00652661"/>
    <w:rsid w:val="00653460"/>
    <w:rsid w:val="0066513B"/>
    <w:rsid w:val="00665871"/>
    <w:rsid w:val="00667011"/>
    <w:rsid w:val="00671A3A"/>
    <w:rsid w:val="006769DB"/>
    <w:rsid w:val="00681D28"/>
    <w:rsid w:val="00685E91"/>
    <w:rsid w:val="00686A34"/>
    <w:rsid w:val="006938FC"/>
    <w:rsid w:val="006A1297"/>
    <w:rsid w:val="006A18AF"/>
    <w:rsid w:val="006B2506"/>
    <w:rsid w:val="006D0DAC"/>
    <w:rsid w:val="006D5864"/>
    <w:rsid w:val="006D5AE3"/>
    <w:rsid w:val="006F4D5C"/>
    <w:rsid w:val="0070049F"/>
    <w:rsid w:val="007112BA"/>
    <w:rsid w:val="00715D7D"/>
    <w:rsid w:val="00726846"/>
    <w:rsid w:val="007352EB"/>
    <w:rsid w:val="00737196"/>
    <w:rsid w:val="007379E8"/>
    <w:rsid w:val="00741C61"/>
    <w:rsid w:val="00754330"/>
    <w:rsid w:val="00762D66"/>
    <w:rsid w:val="007742FF"/>
    <w:rsid w:val="00787FE0"/>
    <w:rsid w:val="007B2368"/>
    <w:rsid w:val="007C6ED2"/>
    <w:rsid w:val="007D19B4"/>
    <w:rsid w:val="007D1DD5"/>
    <w:rsid w:val="007D51B6"/>
    <w:rsid w:val="007D5FFD"/>
    <w:rsid w:val="007E6243"/>
    <w:rsid w:val="007E6F0E"/>
    <w:rsid w:val="007F2F70"/>
    <w:rsid w:val="007F4791"/>
    <w:rsid w:val="007F59AF"/>
    <w:rsid w:val="00805234"/>
    <w:rsid w:val="00805D40"/>
    <w:rsid w:val="00811B2C"/>
    <w:rsid w:val="00831E65"/>
    <w:rsid w:val="00832019"/>
    <w:rsid w:val="00832570"/>
    <w:rsid w:val="00836BC6"/>
    <w:rsid w:val="00837247"/>
    <w:rsid w:val="0083791C"/>
    <w:rsid w:val="00844946"/>
    <w:rsid w:val="00847D1B"/>
    <w:rsid w:val="00860257"/>
    <w:rsid w:val="0087025F"/>
    <w:rsid w:val="00870C8B"/>
    <w:rsid w:val="00876B86"/>
    <w:rsid w:val="0088009C"/>
    <w:rsid w:val="00895215"/>
    <w:rsid w:val="008966B2"/>
    <w:rsid w:val="008B656B"/>
    <w:rsid w:val="008E1417"/>
    <w:rsid w:val="008E184C"/>
    <w:rsid w:val="008F7DF2"/>
    <w:rsid w:val="00900C78"/>
    <w:rsid w:val="00906C6F"/>
    <w:rsid w:val="00914389"/>
    <w:rsid w:val="00924E89"/>
    <w:rsid w:val="00925010"/>
    <w:rsid w:val="0092540A"/>
    <w:rsid w:val="009409AE"/>
    <w:rsid w:val="00951A41"/>
    <w:rsid w:val="00963AB9"/>
    <w:rsid w:val="00971645"/>
    <w:rsid w:val="009759CC"/>
    <w:rsid w:val="00987349"/>
    <w:rsid w:val="00995C57"/>
    <w:rsid w:val="009A2454"/>
    <w:rsid w:val="009A4C27"/>
    <w:rsid w:val="009A567A"/>
    <w:rsid w:val="009D3B9C"/>
    <w:rsid w:val="009E3394"/>
    <w:rsid w:val="009E7580"/>
    <w:rsid w:val="00A013E3"/>
    <w:rsid w:val="00A052D1"/>
    <w:rsid w:val="00A22942"/>
    <w:rsid w:val="00A34B65"/>
    <w:rsid w:val="00A43C27"/>
    <w:rsid w:val="00A44716"/>
    <w:rsid w:val="00A50729"/>
    <w:rsid w:val="00A52D75"/>
    <w:rsid w:val="00A6479D"/>
    <w:rsid w:val="00A727BD"/>
    <w:rsid w:val="00A8503C"/>
    <w:rsid w:val="00A92601"/>
    <w:rsid w:val="00A945DE"/>
    <w:rsid w:val="00AB1B1D"/>
    <w:rsid w:val="00AB223A"/>
    <w:rsid w:val="00AB6687"/>
    <w:rsid w:val="00AB7C73"/>
    <w:rsid w:val="00AD34F3"/>
    <w:rsid w:val="00AE02F9"/>
    <w:rsid w:val="00AF0FB9"/>
    <w:rsid w:val="00AF150A"/>
    <w:rsid w:val="00AF18D0"/>
    <w:rsid w:val="00AF2D04"/>
    <w:rsid w:val="00B00113"/>
    <w:rsid w:val="00B04276"/>
    <w:rsid w:val="00B06E63"/>
    <w:rsid w:val="00B0725E"/>
    <w:rsid w:val="00B1113C"/>
    <w:rsid w:val="00B1587A"/>
    <w:rsid w:val="00B42ACA"/>
    <w:rsid w:val="00B47314"/>
    <w:rsid w:val="00B47970"/>
    <w:rsid w:val="00B50744"/>
    <w:rsid w:val="00B52373"/>
    <w:rsid w:val="00B61BF4"/>
    <w:rsid w:val="00B65339"/>
    <w:rsid w:val="00B7322D"/>
    <w:rsid w:val="00B73511"/>
    <w:rsid w:val="00B8006E"/>
    <w:rsid w:val="00B807FC"/>
    <w:rsid w:val="00B8335B"/>
    <w:rsid w:val="00B844F6"/>
    <w:rsid w:val="00B90E68"/>
    <w:rsid w:val="00B944B3"/>
    <w:rsid w:val="00BA2712"/>
    <w:rsid w:val="00BB4303"/>
    <w:rsid w:val="00BC38BA"/>
    <w:rsid w:val="00BC4391"/>
    <w:rsid w:val="00BE0007"/>
    <w:rsid w:val="00BE292C"/>
    <w:rsid w:val="00BF182F"/>
    <w:rsid w:val="00BF1D55"/>
    <w:rsid w:val="00C2004E"/>
    <w:rsid w:val="00C25CFE"/>
    <w:rsid w:val="00C42AE9"/>
    <w:rsid w:val="00C456C9"/>
    <w:rsid w:val="00C45905"/>
    <w:rsid w:val="00C46678"/>
    <w:rsid w:val="00C669CB"/>
    <w:rsid w:val="00C732B3"/>
    <w:rsid w:val="00C831E5"/>
    <w:rsid w:val="00C846BB"/>
    <w:rsid w:val="00C87794"/>
    <w:rsid w:val="00C96188"/>
    <w:rsid w:val="00C97847"/>
    <w:rsid w:val="00CA190D"/>
    <w:rsid w:val="00CA39A1"/>
    <w:rsid w:val="00CA5D10"/>
    <w:rsid w:val="00CB0351"/>
    <w:rsid w:val="00CC55F5"/>
    <w:rsid w:val="00CD39A0"/>
    <w:rsid w:val="00CE77C7"/>
    <w:rsid w:val="00D35D62"/>
    <w:rsid w:val="00D36B7F"/>
    <w:rsid w:val="00D43610"/>
    <w:rsid w:val="00D45108"/>
    <w:rsid w:val="00D57419"/>
    <w:rsid w:val="00D57C71"/>
    <w:rsid w:val="00D60CCC"/>
    <w:rsid w:val="00D77BF4"/>
    <w:rsid w:val="00D9741B"/>
    <w:rsid w:val="00DA37D2"/>
    <w:rsid w:val="00DA3886"/>
    <w:rsid w:val="00DA5858"/>
    <w:rsid w:val="00DB200B"/>
    <w:rsid w:val="00DB7F89"/>
    <w:rsid w:val="00DC7475"/>
    <w:rsid w:val="00DE5A2D"/>
    <w:rsid w:val="00E01243"/>
    <w:rsid w:val="00E1118D"/>
    <w:rsid w:val="00E349CE"/>
    <w:rsid w:val="00E36783"/>
    <w:rsid w:val="00E40A3F"/>
    <w:rsid w:val="00E55F1B"/>
    <w:rsid w:val="00E6447F"/>
    <w:rsid w:val="00E71EE3"/>
    <w:rsid w:val="00E73730"/>
    <w:rsid w:val="00E773A4"/>
    <w:rsid w:val="00E77F18"/>
    <w:rsid w:val="00E85F11"/>
    <w:rsid w:val="00E86BBA"/>
    <w:rsid w:val="00E946EE"/>
    <w:rsid w:val="00EB073F"/>
    <w:rsid w:val="00EB1F32"/>
    <w:rsid w:val="00EB2CFC"/>
    <w:rsid w:val="00EB7B78"/>
    <w:rsid w:val="00EC35E6"/>
    <w:rsid w:val="00EC3BE8"/>
    <w:rsid w:val="00EC71C6"/>
    <w:rsid w:val="00ED0550"/>
    <w:rsid w:val="00ED15E1"/>
    <w:rsid w:val="00EE0B32"/>
    <w:rsid w:val="00EE7DC5"/>
    <w:rsid w:val="00EF05DC"/>
    <w:rsid w:val="00EF30CD"/>
    <w:rsid w:val="00EF4112"/>
    <w:rsid w:val="00EF74DE"/>
    <w:rsid w:val="00F05F81"/>
    <w:rsid w:val="00F100A8"/>
    <w:rsid w:val="00F15F77"/>
    <w:rsid w:val="00F177E6"/>
    <w:rsid w:val="00F21A20"/>
    <w:rsid w:val="00F239B8"/>
    <w:rsid w:val="00F31082"/>
    <w:rsid w:val="00F32DC6"/>
    <w:rsid w:val="00F41815"/>
    <w:rsid w:val="00F42D03"/>
    <w:rsid w:val="00F54750"/>
    <w:rsid w:val="00F55AE7"/>
    <w:rsid w:val="00F83EB4"/>
    <w:rsid w:val="00F904F0"/>
    <w:rsid w:val="00F945AD"/>
    <w:rsid w:val="00F946D6"/>
    <w:rsid w:val="00FB0483"/>
    <w:rsid w:val="00FC137F"/>
    <w:rsid w:val="00FD49FB"/>
    <w:rsid w:val="00FE137B"/>
    <w:rsid w:val="00FF26DD"/>
    <w:rsid w:val="00FF7B92"/>
    <w:rsid w:val="17C50BCF"/>
    <w:rsid w:val="256868CC"/>
    <w:rsid w:val="25F9516B"/>
    <w:rsid w:val="2C7906B7"/>
    <w:rsid w:val="3FD0436B"/>
    <w:rsid w:val="40136D6D"/>
    <w:rsid w:val="435F061C"/>
    <w:rsid w:val="49AE7D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14:docId w14:val="17B9268B"/>
  <w15:docId w15:val="{2E8E0711-F119-49C2-9000-CA8F340E0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unhideWhenUsed="1" w:qFormat="1"/>
    <w:lsdException w:name="annotation text"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99"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unhideWhenUsed="1"/>
    <w:lsdException w:name="Table Grid" w:uiPriority="99"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eastAsia="PMingLiU"/>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unhideWhenUsed/>
    <w:rPr>
      <w:b/>
      <w:bCs/>
    </w:rPr>
  </w:style>
  <w:style w:type="paragraph" w:styleId="CommentText">
    <w:name w:val="annotation text"/>
    <w:basedOn w:val="Normal"/>
    <w:link w:val="CommentTextChar"/>
    <w:unhideWhenUsed/>
    <w:rPr>
      <w:sz w:val="20"/>
      <w:szCs w:val="20"/>
    </w:rPr>
  </w:style>
  <w:style w:type="paragraph" w:styleId="NormalIndent">
    <w:name w:val="Normal Indent"/>
    <w:basedOn w:val="Normal"/>
    <w:link w:val="NormalIndentChar"/>
    <w:qFormat/>
    <w:pPr>
      <w:adjustRightInd w:val="0"/>
      <w:spacing w:before="60" w:after="60" w:line="312" w:lineRule="atLeast"/>
      <w:ind w:firstLine="420"/>
      <w:jc w:val="both"/>
      <w:textAlignment w:val="baseline"/>
    </w:pPr>
    <w:rPr>
      <w:rFonts w:eastAsia="SimSun"/>
      <w:kern w:val="0"/>
      <w:szCs w:val="20"/>
      <w:lang w:eastAsia="zh-CN"/>
    </w:rPr>
  </w:style>
  <w:style w:type="paragraph" w:styleId="PlainText">
    <w:name w:val="Plain Text"/>
    <w:basedOn w:val="Normal"/>
    <w:link w:val="PlainTextChar"/>
    <w:semiHidden/>
    <w:rPr>
      <w:rFonts w:ascii="MingLiU" w:eastAsia="MingLiU" w:hAnsi="Courier New"/>
      <w:szCs w:val="22"/>
    </w:rPr>
  </w:style>
  <w:style w:type="paragraph" w:styleId="BalloonText">
    <w:name w:val="Balloon Text"/>
    <w:basedOn w:val="Normal"/>
    <w:link w:val="BalloonTextChar"/>
    <w:uiPriority w:val="99"/>
    <w:unhideWhenUsed/>
    <w:rPr>
      <w:rFonts w:ascii="Segoe UI" w:hAnsi="Segoe UI" w:cs="Segoe UI"/>
      <w:sz w:val="18"/>
      <w:szCs w:val="18"/>
    </w:rPr>
  </w:style>
  <w:style w:type="paragraph" w:styleId="Footer">
    <w:name w:val="footer"/>
    <w:basedOn w:val="Normal"/>
    <w:link w:val="FooterChar"/>
    <w:unhideWhenUsed/>
    <w:qFormat/>
    <w:pPr>
      <w:tabs>
        <w:tab w:val="center" w:pos="4513"/>
        <w:tab w:val="right" w:pos="9026"/>
      </w:tabs>
    </w:pPr>
  </w:style>
  <w:style w:type="paragraph" w:styleId="Header">
    <w:name w:val="header"/>
    <w:basedOn w:val="Normal"/>
    <w:link w:val="HeaderChar"/>
    <w:unhideWhenUsed/>
    <w:qFormat/>
    <w:pPr>
      <w:tabs>
        <w:tab w:val="center" w:pos="4680"/>
        <w:tab w:val="right" w:pos="9360"/>
      </w:tabs>
    </w:pPr>
  </w:style>
  <w:style w:type="paragraph" w:styleId="FootnoteText">
    <w:name w:val="footnote text"/>
    <w:basedOn w:val="Normal"/>
    <w:link w:val="FootnoteTextChar"/>
    <w:unhideWhenUsed/>
    <w:qFormat/>
    <w:rPr>
      <w:sz w:val="20"/>
      <w:szCs w:val="20"/>
    </w:rPr>
  </w:style>
  <w:style w:type="paragraph" w:styleId="BodyTextIndent3">
    <w:name w:val="Body Text Indent 3"/>
    <w:basedOn w:val="Normal"/>
    <w:link w:val="BodyTextIndent3Char"/>
    <w:uiPriority w:val="99"/>
    <w:qFormat/>
    <w:pPr>
      <w:spacing w:after="120"/>
      <w:ind w:leftChars="200" w:left="420"/>
      <w:jc w:val="both"/>
    </w:pPr>
    <w:rPr>
      <w:rFonts w:eastAsia="SimSun"/>
      <w:sz w:val="16"/>
      <w:szCs w:val="16"/>
      <w:lang w:eastAsia="zh-CN"/>
    </w:rPr>
  </w:style>
  <w:style w:type="paragraph" w:styleId="NormalWeb">
    <w:name w:val="Normal (Web)"/>
    <w:basedOn w:val="Normal"/>
    <w:uiPriority w:val="99"/>
    <w:unhideWhenUsed/>
    <w:qFormat/>
    <w:pPr>
      <w:widowControl/>
      <w:spacing w:before="100" w:beforeAutospacing="1" w:after="100" w:afterAutospacing="1"/>
    </w:pPr>
    <w:rPr>
      <w:rFonts w:eastAsia="Times New Roman"/>
      <w:kern w:val="0"/>
      <w:lang w:val="zh-CN"/>
    </w:rPr>
  </w:style>
  <w:style w:type="character" w:styleId="PageNumber">
    <w:name w:val="page number"/>
    <w:basedOn w:val="DefaultParagraphFont"/>
    <w:unhideWhenUsed/>
  </w:style>
  <w:style w:type="character" w:styleId="FootnoteReference">
    <w:name w:val="footnote reference"/>
    <w:unhideWhenUsed/>
    <w:rPr>
      <w:vertAlign w:val="superscript"/>
    </w:rPr>
  </w:style>
  <w:style w:type="table" w:styleId="TableGrid">
    <w:name w:val="Table Grid"/>
    <w:basedOn w:val="TableNormal"/>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semiHidden/>
    <w:qFormat/>
    <w:rPr>
      <w:rFonts w:eastAsia="PMingLiU"/>
      <w:kern w:val="2"/>
      <w:lang w:val="en-US" w:eastAsia="zh-TW"/>
    </w:rPr>
  </w:style>
  <w:style w:type="character" w:customStyle="1" w:styleId="BalloonTextChar">
    <w:name w:val="Balloon Text Char"/>
    <w:link w:val="BalloonText"/>
    <w:uiPriority w:val="99"/>
    <w:semiHidden/>
    <w:rPr>
      <w:rFonts w:ascii="Segoe UI" w:eastAsia="PMingLiU" w:hAnsi="Segoe UI" w:cs="Segoe UI"/>
      <w:kern w:val="2"/>
      <w:sz w:val="18"/>
      <w:szCs w:val="18"/>
      <w:lang w:eastAsia="zh-TW"/>
    </w:rPr>
  </w:style>
  <w:style w:type="character" w:customStyle="1" w:styleId="BodyTextIndent3Char">
    <w:name w:val="Body Text Indent 3 Char"/>
    <w:link w:val="BodyTextIndent3"/>
    <w:uiPriority w:val="99"/>
    <w:qFormat/>
    <w:rPr>
      <w:rFonts w:ascii="Times New Roman" w:eastAsia="SimSun" w:hAnsi="Times New Roman" w:cs="Times New Roman"/>
      <w:kern w:val="2"/>
      <w:sz w:val="16"/>
      <w:szCs w:val="16"/>
      <w:lang w:eastAsia="zh-CN"/>
    </w:rPr>
  </w:style>
  <w:style w:type="character" w:customStyle="1" w:styleId="CommentSubjectChar">
    <w:name w:val="Comment Subject Char"/>
    <w:link w:val="CommentSubject"/>
    <w:uiPriority w:val="99"/>
    <w:semiHidden/>
    <w:qFormat/>
    <w:rPr>
      <w:rFonts w:eastAsia="PMingLiU"/>
      <w:b/>
      <w:bCs/>
      <w:kern w:val="2"/>
      <w:lang w:val="en-US" w:eastAsia="zh-TW"/>
    </w:rPr>
  </w:style>
  <w:style w:type="character" w:customStyle="1" w:styleId="FootnoteTextChar">
    <w:name w:val="Footnote Text Char"/>
    <w:link w:val="FootnoteText"/>
    <w:semiHidden/>
    <w:qFormat/>
    <w:rPr>
      <w:rFonts w:eastAsia="PMingLiU"/>
      <w:kern w:val="2"/>
      <w:lang w:val="en-US" w:eastAsia="zh-TW"/>
    </w:rPr>
  </w:style>
  <w:style w:type="character" w:customStyle="1" w:styleId="FooterChar">
    <w:name w:val="Footer Char"/>
    <w:link w:val="Footer"/>
    <w:qFormat/>
    <w:rPr>
      <w:rFonts w:ascii="Times New Roman" w:eastAsia="PMingLiU" w:hAnsi="Times New Roman" w:cs="Times New Roman"/>
      <w:kern w:val="2"/>
      <w:sz w:val="24"/>
      <w:szCs w:val="24"/>
      <w:lang w:eastAsia="zh-TW"/>
    </w:rPr>
  </w:style>
  <w:style w:type="character" w:customStyle="1" w:styleId="NormalIndentChar">
    <w:name w:val="Normal Indent Char"/>
    <w:link w:val="NormalIndent"/>
    <w:rPr>
      <w:sz w:val="24"/>
      <w:lang w:val="en-US"/>
    </w:rPr>
  </w:style>
  <w:style w:type="character" w:customStyle="1" w:styleId="ERegular">
    <w:name w:val="E_Regular"/>
    <w:uiPriority w:val="99"/>
    <w:rPr>
      <w:rFonts w:ascii="Times LT Std" w:hAnsi="Times LT Std" w:cs="Times LT Std"/>
    </w:rPr>
  </w:style>
  <w:style w:type="character" w:customStyle="1" w:styleId="PlainTextChar">
    <w:name w:val="Plain Text Char"/>
    <w:link w:val="PlainText"/>
    <w:semiHidden/>
    <w:rPr>
      <w:rFonts w:ascii="MingLiU" w:eastAsia="MingLiU" w:hAnsi="Courier New" w:cs="Times New Roman"/>
      <w:kern w:val="2"/>
      <w:sz w:val="24"/>
      <w:lang w:eastAsia="zh-TW"/>
    </w:rPr>
  </w:style>
  <w:style w:type="paragraph" w:customStyle="1" w:styleId="BodyText1">
    <w:name w:val="Body Text1"/>
    <w:pPr>
      <w:widowControl w:val="0"/>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s>
      <w:autoSpaceDE w:val="0"/>
      <w:autoSpaceDN w:val="0"/>
      <w:adjustRightInd w:val="0"/>
      <w:spacing w:line="200" w:lineRule="atLeast"/>
      <w:ind w:left="340"/>
      <w:jc w:val="both"/>
    </w:pPr>
    <w:rPr>
      <w:rFonts w:ascii="Times" w:eastAsia="PMingLiU" w:hAnsi="Times"/>
      <w:color w:val="000000"/>
      <w:sz w:val="17"/>
      <w:szCs w:val="17"/>
    </w:rPr>
  </w:style>
  <w:style w:type="paragraph" w:customStyle="1" w:styleId="Leading12">
    <w:name w:val="Leading 12"/>
    <w:qFormat/>
    <w:pPr>
      <w:widowControl w:val="0"/>
      <w:tabs>
        <w:tab w:val="left" w:pos="340"/>
        <w:tab w:val="left" w:pos="680"/>
        <w:tab w:val="left" w:pos="1020"/>
        <w:tab w:val="left" w:pos="1361"/>
      </w:tabs>
      <w:autoSpaceDE w:val="0"/>
      <w:autoSpaceDN w:val="0"/>
      <w:adjustRightInd w:val="0"/>
      <w:spacing w:line="182" w:lineRule="atLeast"/>
      <w:jc w:val="both"/>
    </w:pPr>
    <w:rPr>
      <w:rFonts w:ascii="Times" w:eastAsia="PMingLiU" w:hAnsi="Times"/>
      <w:sz w:val="10"/>
      <w:szCs w:val="10"/>
    </w:rPr>
  </w:style>
  <w:style w:type="paragraph" w:customStyle="1" w:styleId="CharCharCharChar">
    <w:name w:val="Char Char Char Char"/>
    <w:basedOn w:val="Normal"/>
    <w:qFormat/>
    <w:pPr>
      <w:widowControl/>
      <w:spacing w:line="240" w:lineRule="exact"/>
    </w:pPr>
    <w:rPr>
      <w:kern w:val="0"/>
      <w:sz w:val="20"/>
      <w:szCs w:val="20"/>
    </w:rPr>
  </w:style>
  <w:style w:type="paragraph" w:customStyle="1" w:styleId="00EBodyText">
    <w:name w:val="00 E_Body Text"/>
    <w:basedOn w:val="Normal"/>
    <w:uiPriority w:val="99"/>
    <w:qFormat/>
    <w:pPr>
      <w:tabs>
        <w:tab w:val="left" w:pos="567"/>
        <w:tab w:val="left" w:pos="1134"/>
        <w:tab w:val="left" w:pos="1701"/>
        <w:tab w:val="left" w:pos="2268"/>
      </w:tabs>
      <w:suppressAutoHyphens/>
      <w:autoSpaceDE w:val="0"/>
      <w:autoSpaceDN w:val="0"/>
      <w:adjustRightInd w:val="0"/>
      <w:spacing w:line="280" w:lineRule="atLeast"/>
      <w:jc w:val="both"/>
      <w:textAlignment w:val="baseline"/>
    </w:pPr>
    <w:rPr>
      <w:rFonts w:ascii="Times LT Std" w:eastAsia="SimSun" w:hAnsi="Times LT Std" w:cs="Times LT Std"/>
      <w:color w:val="000000"/>
      <w:kern w:val="0"/>
      <w:lang w:val="en-GB"/>
    </w:rPr>
  </w:style>
  <w:style w:type="paragraph" w:customStyle="1" w:styleId="01EHeadingBody">
    <w:name w:val="01 E_Heading Body"/>
    <w:basedOn w:val="00EBodyText"/>
    <w:next w:val="00EBodyText"/>
    <w:uiPriority w:val="99"/>
    <w:qFormat/>
    <w:rPr>
      <w:b/>
      <w:bCs/>
      <w:caps/>
    </w:rPr>
  </w:style>
  <w:style w:type="paragraph" w:customStyle="1" w:styleId="ListParagraph1">
    <w:name w:val="List Paragraph1"/>
    <w:basedOn w:val="Normal"/>
    <w:uiPriority w:val="34"/>
    <w:qFormat/>
    <w:pPr>
      <w:ind w:left="720"/>
    </w:pPr>
  </w:style>
  <w:style w:type="paragraph" w:customStyle="1" w:styleId="Leading06">
    <w:name w:val="Leading 06"/>
    <w:qFormat/>
    <w:pPr>
      <w:widowControl w:val="0"/>
      <w:tabs>
        <w:tab w:val="left" w:pos="340"/>
        <w:tab w:val="left" w:pos="680"/>
        <w:tab w:val="left" w:pos="1020"/>
        <w:tab w:val="left" w:pos="1361"/>
      </w:tabs>
      <w:autoSpaceDE w:val="0"/>
      <w:autoSpaceDN w:val="0"/>
      <w:adjustRightInd w:val="0"/>
      <w:spacing w:line="180" w:lineRule="atLeast"/>
      <w:jc w:val="both"/>
    </w:pPr>
    <w:rPr>
      <w:rFonts w:ascii="Times" w:eastAsia="PMingLiU" w:hAnsi="Times"/>
      <w:sz w:val="10"/>
      <w:szCs w:val="10"/>
    </w:rPr>
  </w:style>
  <w:style w:type="paragraph" w:customStyle="1" w:styleId="ListParagraph2">
    <w:name w:val="List Paragraph2"/>
    <w:basedOn w:val="Normal"/>
    <w:uiPriority w:val="34"/>
    <w:qFormat/>
    <w:pPr>
      <w:ind w:left="720"/>
      <w:contextualSpacing/>
    </w:pPr>
  </w:style>
  <w:style w:type="paragraph" w:customStyle="1" w:styleId="a">
    <w:name w:val="題目"/>
    <w:qFormat/>
    <w:pPr>
      <w:jc w:val="center"/>
    </w:pPr>
    <w:rPr>
      <w:rFonts w:eastAsia="MingLiU"/>
      <w:b/>
      <w:sz w:val="36"/>
    </w:rPr>
  </w:style>
  <w:style w:type="paragraph" w:customStyle="1" w:styleId="ListParagraph3">
    <w:name w:val="List Paragraph3"/>
    <w:basedOn w:val="Normal"/>
    <w:uiPriority w:val="34"/>
    <w:qFormat/>
    <w:pPr>
      <w:ind w:left="720"/>
    </w:pPr>
  </w:style>
  <w:style w:type="character" w:customStyle="1" w:styleId="HeaderChar">
    <w:name w:val="Header Char"/>
    <w:basedOn w:val="DefaultParagraphFont"/>
    <w:link w:val="Header"/>
    <w:qFormat/>
    <w:rPr>
      <w:rFonts w:eastAsia="PMingLiU"/>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1901</Words>
  <Characters>215</Characters>
  <Application>Microsoft Office Word</Application>
  <DocSecurity>0</DocSecurity>
  <Lines>1</Lines>
  <Paragraphs>4</Paragraphs>
  <ScaleCrop>false</ScaleCrop>
  <HeadingPairs>
    <vt:vector size="2" baseType="variant">
      <vt:variant>
        <vt:lpstr>Title</vt:lpstr>
      </vt:variant>
      <vt:variant>
        <vt:i4>1</vt:i4>
      </vt:variant>
    </vt:vector>
  </HeadingPairs>
  <TitlesOfParts>
    <vt:vector size="1" baseType="lpstr">
      <vt:lpstr/>
    </vt:vector>
  </TitlesOfParts>
  <Company>Charltons</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田建华</dc:creator>
  <cp:lastModifiedBy>Charltons</cp:lastModifiedBy>
  <cp:revision>9</cp:revision>
  <cp:lastPrinted>2020-06-03T04:57:00Z</cp:lastPrinted>
  <dcterms:created xsi:type="dcterms:W3CDTF">2020-10-16T06:33:00Z</dcterms:created>
  <dcterms:modified xsi:type="dcterms:W3CDTF">2020-10-16T08:44:00Z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